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hAnsi="MyriadPro-Bold" w:cs="MyriadPro-Bold"/>
          <w:b/>
          <w:bCs/>
          <w:color w:val="FFFFFF"/>
          <w:sz w:val="26"/>
          <w:szCs w:val="26"/>
        </w:rPr>
      </w:pPr>
      <w:r>
        <w:rPr>
          <w:rFonts w:ascii="MyriadPro-Bold" w:hAnsi="MyriadPro-Bold" w:cs="MyriadPro-Bold"/>
          <w:b/>
          <w:bCs/>
          <w:color w:val="FFFFFF"/>
          <w:sz w:val="26"/>
          <w:szCs w:val="26"/>
        </w:rPr>
        <w:t>CASE REPORT</w:t>
      </w:r>
    </w:p>
    <w:p w:rsidR="008E4B50" w:rsidRPr="00B42429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color w:val="000000"/>
          <w:sz w:val="44"/>
          <w:szCs w:val="44"/>
        </w:rPr>
      </w:pPr>
      <w:r w:rsidRPr="00B42429">
        <w:rPr>
          <w:rFonts w:ascii="MyriadPro-Regular" w:hAnsi="MyriadPro-Regular" w:cs="MyriadPro-Regular"/>
          <w:color w:val="000000"/>
          <w:sz w:val="44"/>
          <w:szCs w:val="44"/>
        </w:rPr>
        <w:t>Longitudinal extensive transverse myelitis</w:t>
      </w:r>
    </w:p>
    <w:p w:rsidR="008E4B50" w:rsidRPr="00B42429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color w:val="000000"/>
          <w:sz w:val="44"/>
          <w:szCs w:val="44"/>
        </w:rPr>
      </w:pPr>
      <w:r w:rsidRPr="00B42429">
        <w:rPr>
          <w:rFonts w:ascii="MyriadPro-Regular" w:hAnsi="MyriadPro-Regular" w:cs="MyriadPro-Regular"/>
          <w:color w:val="000000"/>
          <w:sz w:val="44"/>
          <w:szCs w:val="44"/>
        </w:rPr>
        <w:t xml:space="preserve">following </w:t>
      </w:r>
      <w:r w:rsidRPr="00B42429">
        <w:rPr>
          <w:rFonts w:ascii="MyriadPro-Regular" w:hAnsi="MyriadPro-Regular" w:cs="MyriadPro-Regular"/>
          <w:color w:val="000000"/>
          <w:sz w:val="44"/>
          <w:szCs w:val="44"/>
        </w:rPr>
        <w:t xml:space="preserve">ChAdOx1 nCOV-19 vaccine: a case </w:t>
      </w:r>
      <w:r w:rsidRPr="00B42429">
        <w:rPr>
          <w:rFonts w:ascii="MyriadPro-Regular" w:hAnsi="MyriadPro-Regular" w:cs="MyriadPro-Regular"/>
          <w:color w:val="000000"/>
          <w:sz w:val="44"/>
          <w:szCs w:val="44"/>
        </w:rPr>
        <w:t>report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color w:val="000000"/>
          <w:sz w:val="48"/>
          <w:szCs w:val="48"/>
        </w:rPr>
      </w:pP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</w:rPr>
      </w:pPr>
      <w:r>
        <w:rPr>
          <w:rFonts w:ascii="MyriadPro-Light" w:hAnsi="MyriadPro-Light" w:cs="MyriadPro-Light"/>
          <w:color w:val="000000"/>
        </w:rPr>
        <w:t>Wee Yong Tan</w:t>
      </w:r>
      <w:r>
        <w:rPr>
          <w:rFonts w:ascii="MyriadPro-Light" w:hAnsi="MyriadPro-Light" w:cs="MyriadPro-Light"/>
          <w:color w:val="000000"/>
          <w:sz w:val="15"/>
          <w:szCs w:val="15"/>
        </w:rPr>
        <w:t>1</w:t>
      </w:r>
      <w:r>
        <w:rPr>
          <w:rFonts w:ascii="MyriadPro-Light" w:hAnsi="MyriadPro-Light" w:cs="MyriadPro-Light"/>
          <w:color w:val="000000"/>
        </w:rPr>
        <w:t xml:space="preserve">, Abdul </w:t>
      </w:r>
      <w:proofErr w:type="spellStart"/>
      <w:r>
        <w:rPr>
          <w:rFonts w:ascii="MyriadPro-Light" w:hAnsi="MyriadPro-Light" w:cs="MyriadPro-Light"/>
          <w:color w:val="000000"/>
        </w:rPr>
        <w:t>Hanif</w:t>
      </w:r>
      <w:proofErr w:type="spellEnd"/>
      <w:r>
        <w:rPr>
          <w:rFonts w:ascii="MyriadPro-Light" w:hAnsi="MyriadPro-Light" w:cs="MyriadPro-Light"/>
          <w:color w:val="000000"/>
        </w:rPr>
        <w:t xml:space="preserve"> Khan </w:t>
      </w:r>
      <w:proofErr w:type="spellStart"/>
      <w:r>
        <w:rPr>
          <w:rFonts w:ascii="MyriadPro-Light" w:hAnsi="MyriadPro-Light" w:cs="MyriadPro-Light"/>
          <w:color w:val="000000"/>
        </w:rPr>
        <w:t>Yusof</w:t>
      </w:r>
      <w:proofErr w:type="spellEnd"/>
      <w:r>
        <w:rPr>
          <w:rFonts w:ascii="MyriadPro-Light" w:hAnsi="MyriadPro-Light" w:cs="MyriadPro-Light"/>
          <w:color w:val="000000"/>
        </w:rPr>
        <w:t xml:space="preserve"> Khan</w:t>
      </w:r>
      <w:r>
        <w:rPr>
          <w:rFonts w:ascii="MyriadPro-Light" w:hAnsi="MyriadPro-Light" w:cs="MyriadPro-Light"/>
          <w:color w:val="000000"/>
          <w:sz w:val="15"/>
          <w:szCs w:val="15"/>
        </w:rPr>
        <w:t>2*</w:t>
      </w:r>
      <w:r>
        <w:rPr>
          <w:rFonts w:ascii="MyriadPro-Light" w:hAnsi="MyriadPro-Light" w:cs="MyriadPro-Light"/>
          <w:color w:val="000000"/>
        </w:rPr>
        <w:t xml:space="preserve">, </w:t>
      </w:r>
      <w:proofErr w:type="spellStart"/>
      <w:r>
        <w:rPr>
          <w:rFonts w:ascii="MyriadPro-Light" w:hAnsi="MyriadPro-Light" w:cs="MyriadPro-Light"/>
          <w:color w:val="000000"/>
        </w:rPr>
        <w:t>Mohd</w:t>
      </w:r>
      <w:proofErr w:type="spellEnd"/>
      <w:r>
        <w:rPr>
          <w:rFonts w:ascii="MyriadPro-Light" w:hAnsi="MyriadPro-Light" w:cs="MyriadPro-Light"/>
          <w:color w:val="000000"/>
        </w:rPr>
        <w:t xml:space="preserve"> </w:t>
      </w:r>
      <w:proofErr w:type="spellStart"/>
      <w:r>
        <w:rPr>
          <w:rFonts w:ascii="MyriadPro-Light" w:hAnsi="MyriadPro-Light" w:cs="MyriadPro-Light"/>
          <w:color w:val="000000"/>
        </w:rPr>
        <w:t>Naim</w:t>
      </w:r>
      <w:proofErr w:type="spellEnd"/>
      <w:r>
        <w:rPr>
          <w:rFonts w:ascii="MyriadPro-Light" w:hAnsi="MyriadPro-Light" w:cs="MyriadPro-Light"/>
          <w:color w:val="000000"/>
        </w:rPr>
        <w:t xml:space="preserve"> </w:t>
      </w:r>
      <w:proofErr w:type="spellStart"/>
      <w:r>
        <w:rPr>
          <w:rFonts w:ascii="MyriadPro-Light" w:hAnsi="MyriadPro-Light" w:cs="MyriadPro-Light"/>
          <w:color w:val="000000"/>
        </w:rPr>
        <w:t>Mohd</w:t>
      </w:r>
      <w:proofErr w:type="spellEnd"/>
      <w:r>
        <w:rPr>
          <w:rFonts w:ascii="MyriadPro-Light" w:hAnsi="MyriadPro-Light" w:cs="MyriadPro-Light"/>
          <w:color w:val="000000"/>
        </w:rPr>
        <w:t xml:space="preserve"> Yaakob</w:t>
      </w:r>
      <w:r>
        <w:rPr>
          <w:rFonts w:ascii="MyriadPro-Light" w:hAnsi="MyriadPro-Light" w:cs="MyriadPro-Light"/>
          <w:color w:val="000000"/>
          <w:sz w:val="15"/>
          <w:szCs w:val="15"/>
        </w:rPr>
        <w:t>3</w:t>
      </w:r>
      <w:r>
        <w:rPr>
          <w:rFonts w:ascii="MyriadPro-Light" w:hAnsi="MyriadPro-Light" w:cs="MyriadPro-Light"/>
          <w:color w:val="000000"/>
        </w:rPr>
        <w:t xml:space="preserve">, Anna </w:t>
      </w:r>
      <w:proofErr w:type="spellStart"/>
      <w:r>
        <w:rPr>
          <w:rFonts w:ascii="MyriadPro-Light" w:hAnsi="MyriadPro-Light" w:cs="MyriadPro-Light"/>
          <w:color w:val="000000"/>
        </w:rPr>
        <w:t>Misyail</w:t>
      </w:r>
      <w:proofErr w:type="spellEnd"/>
      <w:r>
        <w:rPr>
          <w:rFonts w:ascii="MyriadPro-Light" w:hAnsi="MyriadPro-Light" w:cs="MyriadPro-Light"/>
          <w:color w:val="000000"/>
        </w:rPr>
        <w:t xml:space="preserve"> Abdul Rashid</w:t>
      </w:r>
      <w:r>
        <w:rPr>
          <w:rFonts w:ascii="MyriadPro-Light" w:hAnsi="MyriadPro-Light" w:cs="MyriadPro-Light"/>
          <w:color w:val="000000"/>
          <w:sz w:val="15"/>
          <w:szCs w:val="15"/>
        </w:rPr>
        <w:t>2</w:t>
      </w:r>
      <w:r>
        <w:rPr>
          <w:rFonts w:ascii="MyriadPro-Light" w:hAnsi="MyriadPro-Light" w:cs="MyriadPro-Light"/>
          <w:color w:val="000000"/>
        </w:rPr>
        <w:t>,</w:t>
      </w:r>
    </w:p>
    <w:p w:rsidR="008E4B50" w:rsidRPr="00B37A40" w:rsidRDefault="00B37A4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sz w:val="15"/>
          <w:szCs w:val="15"/>
        </w:rPr>
      </w:pPr>
      <w:r>
        <w:rPr>
          <w:rFonts w:ascii="MyriadPro-Light" w:hAnsi="MyriadPro-Light" w:cs="MyriadPro-Light"/>
          <w:sz w:val="15"/>
          <w:szCs w:val="15"/>
        </w:rPr>
        <w:t xml:space="preserve">Thomson Hospital Kota </w:t>
      </w:r>
      <w:proofErr w:type="spellStart"/>
      <w:r>
        <w:rPr>
          <w:rFonts w:ascii="MyriadPro-Light" w:hAnsi="MyriadPro-Light" w:cs="MyriadPro-Light"/>
          <w:sz w:val="15"/>
          <w:szCs w:val="15"/>
        </w:rPr>
        <w:t>Damansara</w:t>
      </w:r>
      <w:proofErr w:type="spellEnd"/>
      <w:r>
        <w:rPr>
          <w:rFonts w:ascii="MyriadPro-Light" w:hAnsi="MyriadPro-Light" w:cs="MyriadPro-Light"/>
          <w:sz w:val="15"/>
          <w:szCs w:val="15"/>
        </w:rPr>
        <w:t xml:space="preserve">, 47810 Kuala Lumpur, Malaysia. </w:t>
      </w:r>
      <w:r>
        <w:rPr>
          <w:rFonts w:ascii="MyriadPro-Light" w:hAnsi="MyriadPro-Light" w:cs="MyriadPro-Light"/>
          <w:sz w:val="11"/>
          <w:szCs w:val="11"/>
        </w:rPr>
        <w:t xml:space="preserve">2 </w:t>
      </w:r>
      <w:r>
        <w:rPr>
          <w:rFonts w:ascii="MyriadPro-Light" w:hAnsi="MyriadPro-Light" w:cs="MyriadPro-Light"/>
          <w:sz w:val="15"/>
          <w:szCs w:val="15"/>
        </w:rPr>
        <w:t xml:space="preserve">Department </w:t>
      </w:r>
      <w:r>
        <w:rPr>
          <w:rFonts w:ascii="MyriadPro-Light" w:hAnsi="MyriadPro-Light" w:cs="MyriadPro-Light"/>
          <w:sz w:val="15"/>
          <w:szCs w:val="15"/>
        </w:rPr>
        <w:t>of Neurology, Faculty of Medicine and He</w:t>
      </w:r>
      <w:r>
        <w:rPr>
          <w:rFonts w:ascii="MyriadPro-Light" w:hAnsi="MyriadPro-Light" w:cs="MyriadPro-Light"/>
          <w:sz w:val="15"/>
          <w:szCs w:val="15"/>
        </w:rPr>
        <w:t xml:space="preserve">alth Sciences, </w:t>
      </w:r>
      <w:proofErr w:type="spellStart"/>
      <w:r>
        <w:rPr>
          <w:rFonts w:ascii="MyriadPro-Light" w:hAnsi="MyriadPro-Light" w:cs="MyriadPro-Light"/>
          <w:sz w:val="15"/>
          <w:szCs w:val="15"/>
        </w:rPr>
        <w:t>Universiti</w:t>
      </w:r>
      <w:proofErr w:type="spellEnd"/>
      <w:r>
        <w:rPr>
          <w:rFonts w:ascii="MyriadPro-Light" w:hAnsi="MyriadPro-Light" w:cs="MyriadPro-Light"/>
          <w:sz w:val="15"/>
          <w:szCs w:val="15"/>
        </w:rPr>
        <w:t xml:space="preserve"> Putra </w:t>
      </w:r>
      <w:r>
        <w:rPr>
          <w:rFonts w:ascii="MyriadPro-Light" w:hAnsi="MyriadPro-Light" w:cs="MyriadPro-Light"/>
          <w:sz w:val="15"/>
          <w:szCs w:val="15"/>
        </w:rPr>
        <w:t xml:space="preserve">Malaysia (UPM), 43400 </w:t>
      </w:r>
      <w:proofErr w:type="spellStart"/>
      <w:r>
        <w:rPr>
          <w:rFonts w:ascii="MyriadPro-Light" w:hAnsi="MyriadPro-Light" w:cs="MyriadPro-Light"/>
          <w:sz w:val="15"/>
          <w:szCs w:val="15"/>
        </w:rPr>
        <w:t>Serdang</w:t>
      </w:r>
      <w:proofErr w:type="spellEnd"/>
      <w:r>
        <w:rPr>
          <w:rFonts w:ascii="MyriadPro-Light" w:hAnsi="MyriadPro-Light" w:cs="MyriadPro-Light"/>
          <w:sz w:val="15"/>
          <w:szCs w:val="15"/>
        </w:rPr>
        <w:t xml:space="preserve">, Selangor, Malaysia. </w:t>
      </w:r>
      <w:r>
        <w:rPr>
          <w:rFonts w:ascii="MyriadPro-Light" w:hAnsi="MyriadPro-Light" w:cs="MyriadPro-Light"/>
          <w:sz w:val="11"/>
          <w:szCs w:val="11"/>
        </w:rPr>
        <w:t xml:space="preserve">3 </w:t>
      </w:r>
      <w:r>
        <w:rPr>
          <w:rFonts w:ascii="MyriadPro-Light" w:hAnsi="MyriadPro-Light" w:cs="MyriadPro-Light"/>
          <w:sz w:val="15"/>
          <w:szCs w:val="15"/>
        </w:rPr>
        <w:t xml:space="preserve">Department of Radiology, </w:t>
      </w:r>
      <w:r>
        <w:rPr>
          <w:rFonts w:ascii="MyriadPro-Light" w:hAnsi="MyriadPro-Light" w:cs="MyriadPro-Light"/>
          <w:sz w:val="15"/>
          <w:szCs w:val="15"/>
        </w:rPr>
        <w:t xml:space="preserve">Faculty of Medicine and Health Sciences, </w:t>
      </w:r>
      <w:proofErr w:type="spellStart"/>
      <w:r>
        <w:rPr>
          <w:rFonts w:ascii="MyriadPro-Light" w:hAnsi="MyriadPro-Light" w:cs="MyriadPro-Light"/>
          <w:sz w:val="15"/>
          <w:szCs w:val="15"/>
        </w:rPr>
        <w:t>U</w:t>
      </w:r>
      <w:r>
        <w:rPr>
          <w:rFonts w:ascii="MyriadPro-Light" w:hAnsi="MyriadPro-Light" w:cs="MyriadPro-Light"/>
          <w:sz w:val="15"/>
          <w:szCs w:val="15"/>
        </w:rPr>
        <w:t>niversiti</w:t>
      </w:r>
      <w:proofErr w:type="spellEnd"/>
      <w:r>
        <w:rPr>
          <w:rFonts w:ascii="MyriadPro-Light" w:hAnsi="MyriadPro-Light" w:cs="MyriadPro-Light"/>
          <w:sz w:val="15"/>
          <w:szCs w:val="15"/>
        </w:rPr>
        <w:t xml:space="preserve"> Putra Malaysia (UPM), </w:t>
      </w:r>
      <w:r>
        <w:rPr>
          <w:rFonts w:ascii="MyriadPro-Light" w:hAnsi="MyriadPro-Light" w:cs="MyriadPro-Light"/>
          <w:sz w:val="15"/>
          <w:szCs w:val="15"/>
        </w:rPr>
        <w:t xml:space="preserve">43400 </w:t>
      </w:r>
      <w:proofErr w:type="spellStart"/>
      <w:r>
        <w:rPr>
          <w:rFonts w:ascii="MyriadPro-Light" w:hAnsi="MyriadPro-Light" w:cs="MyriadPro-Light"/>
          <w:sz w:val="15"/>
          <w:szCs w:val="15"/>
        </w:rPr>
        <w:t>Serdang</w:t>
      </w:r>
      <w:proofErr w:type="spellEnd"/>
      <w:r>
        <w:rPr>
          <w:rFonts w:ascii="MyriadPro-Light" w:hAnsi="MyriadPro-Light" w:cs="MyriadPro-Light"/>
          <w:sz w:val="15"/>
          <w:szCs w:val="15"/>
        </w:rPr>
        <w:t>, Selangor, Malaysia.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</w:p>
    <w:p w:rsidR="008E4B50" w:rsidRPr="00B37A4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hAnsi="MyriadPro-Bold" w:cs="MyriadPro-Bold"/>
          <w:b/>
          <w:bCs/>
          <w:color w:val="000000"/>
          <w:sz w:val="27"/>
          <w:szCs w:val="27"/>
        </w:rPr>
      </w:pPr>
      <w:r w:rsidRPr="00B37A40">
        <w:rPr>
          <w:rFonts w:ascii="MyriadPro-Bold" w:hAnsi="MyriadPro-Bold" w:cs="MyriadPro-Bold"/>
          <w:b/>
          <w:bCs/>
          <w:color w:val="000000"/>
          <w:sz w:val="27"/>
          <w:szCs w:val="27"/>
        </w:rPr>
        <w:t>Abstract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20"/>
          <w:szCs w:val="20"/>
        </w:rPr>
      </w:pPr>
      <w:r w:rsidRPr="008E4B50">
        <w:rPr>
          <w:rFonts w:ascii="MyriadPro-Semibold" w:hAnsi="MyriadPro-Semibold" w:cs="MyriadPro-Semibold"/>
          <w:b/>
          <w:bCs/>
          <w:color w:val="000000"/>
          <w:sz w:val="20"/>
          <w:szCs w:val="20"/>
        </w:rPr>
        <w:t>Background</w:t>
      </w:r>
      <w:r>
        <w:rPr>
          <w:rFonts w:ascii="MyriadPro-Semibold" w:hAnsi="MyriadPro-Semibold" w:cs="MyriadPro-Semibold"/>
          <w:color w:val="000000"/>
          <w:sz w:val="20"/>
          <w:szCs w:val="20"/>
        </w:rPr>
        <w:t xml:space="preserve">: </w:t>
      </w:r>
      <w:r>
        <w:rPr>
          <w:rFonts w:ascii="MyriadPro-Light" w:hAnsi="MyriadPro-Light" w:cs="MyriadPro-Light"/>
          <w:color w:val="000000"/>
          <w:sz w:val="20"/>
          <w:szCs w:val="20"/>
        </w:rPr>
        <w:t>Transverse myelitis (TM) is a relatively uncommon condition, and vacc</w:t>
      </w:r>
      <w:r>
        <w:rPr>
          <w:rFonts w:ascii="MyriadPro-Light" w:hAnsi="MyriadPro-Light" w:cs="MyriadPro-Light"/>
          <w:color w:val="000000"/>
          <w:sz w:val="20"/>
          <w:szCs w:val="20"/>
        </w:rPr>
        <w:t xml:space="preserve">ine-associated myelitis is even </w:t>
      </w:r>
      <w:r>
        <w:rPr>
          <w:rFonts w:ascii="MyriadPro-Light" w:hAnsi="MyriadPro-Light" w:cs="MyriadPro-Light"/>
          <w:color w:val="000000"/>
          <w:sz w:val="20"/>
          <w:szCs w:val="20"/>
        </w:rPr>
        <w:t>rarer. Concern regarding neurological complications following vaccination escalated fo</w:t>
      </w:r>
      <w:r>
        <w:rPr>
          <w:rFonts w:ascii="MyriadPro-Light" w:hAnsi="MyriadPro-Light" w:cs="MyriadPro-Light"/>
          <w:color w:val="000000"/>
          <w:sz w:val="20"/>
          <w:szCs w:val="20"/>
        </w:rPr>
        <w:t xml:space="preserve">llowing the report of TM during </w:t>
      </w:r>
      <w:r>
        <w:rPr>
          <w:rFonts w:ascii="MyriadPro-Light" w:hAnsi="MyriadPro-Light" w:cs="MyriadPro-Light"/>
          <w:color w:val="000000"/>
          <w:sz w:val="20"/>
          <w:szCs w:val="20"/>
        </w:rPr>
        <w:t>the safety and efficacy trials of the COVID-19 vaccine.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20"/>
          <w:szCs w:val="20"/>
        </w:rPr>
      </w:pPr>
      <w:r w:rsidRPr="008E4B50">
        <w:rPr>
          <w:rFonts w:ascii="MyriadPro-Semibold" w:hAnsi="MyriadPro-Semibold" w:cs="MyriadPro-Semibold"/>
          <w:b/>
          <w:bCs/>
          <w:color w:val="000000"/>
          <w:sz w:val="20"/>
          <w:szCs w:val="20"/>
        </w:rPr>
        <w:t>Case presentation</w:t>
      </w:r>
      <w:r>
        <w:rPr>
          <w:rFonts w:ascii="MyriadPro-Semibold" w:hAnsi="MyriadPro-Semibold" w:cs="MyriadPro-Semibold"/>
          <w:color w:val="000000"/>
          <w:sz w:val="20"/>
          <w:szCs w:val="20"/>
        </w:rPr>
        <w:t xml:space="preserve">: </w:t>
      </w:r>
      <w:r>
        <w:rPr>
          <w:rFonts w:ascii="MyriadPro-Light" w:hAnsi="MyriadPro-Light" w:cs="MyriadPro-Light"/>
          <w:color w:val="000000"/>
          <w:sz w:val="20"/>
          <w:szCs w:val="20"/>
        </w:rPr>
        <w:t>We report the first case of Longitudinal Extensive Transverse Myelit</w:t>
      </w:r>
      <w:r>
        <w:rPr>
          <w:rFonts w:ascii="MyriadPro-Light" w:hAnsi="MyriadPro-Light" w:cs="MyriadPro-Light"/>
          <w:color w:val="000000"/>
          <w:sz w:val="20"/>
          <w:szCs w:val="20"/>
        </w:rPr>
        <w:t xml:space="preserve">is (LETM) in Malaysia following </w:t>
      </w:r>
      <w:r>
        <w:rPr>
          <w:rFonts w:ascii="MyriadPro-Light" w:hAnsi="MyriadPro-Light" w:cs="MyriadPro-Light"/>
          <w:color w:val="000000"/>
          <w:sz w:val="20"/>
          <w:szCs w:val="20"/>
        </w:rPr>
        <w:t>administration of the chimpanzee adenovirus-vectored (ChAdOx1 nCoV-19) vaccine.</w:t>
      </w:r>
      <w:r>
        <w:rPr>
          <w:rFonts w:ascii="MyriadPro-Light" w:hAnsi="MyriadPro-Light" w:cs="MyriadPro-Light"/>
          <w:color w:val="000000"/>
          <w:sz w:val="20"/>
          <w:szCs w:val="20"/>
        </w:rPr>
        <w:t xml:space="preserve"> A 25-year-old female presented </w:t>
      </w:r>
      <w:r>
        <w:rPr>
          <w:rFonts w:ascii="MyriadPro-Light" w:hAnsi="MyriadPro-Light" w:cs="MyriadPro-Light"/>
          <w:color w:val="000000"/>
          <w:sz w:val="20"/>
          <w:szCs w:val="20"/>
        </w:rPr>
        <w:t xml:space="preserve">with bilateral lower limb weakness and inability to walk with a sensory level up to </w:t>
      </w:r>
      <w:r>
        <w:rPr>
          <w:rFonts w:ascii="MyriadPro-Light" w:hAnsi="MyriadPro-Light" w:cs="MyriadPro-Light"/>
          <w:color w:val="000000"/>
          <w:sz w:val="20"/>
          <w:szCs w:val="20"/>
        </w:rPr>
        <w:t xml:space="preserve">T8 with absent visual symptoms. </w:t>
      </w:r>
      <w:r>
        <w:rPr>
          <w:rFonts w:ascii="MyriadPro-Light" w:hAnsi="MyriadPro-Light" w:cs="MyriadPro-Light"/>
          <w:color w:val="000000"/>
          <w:sz w:val="20"/>
          <w:szCs w:val="20"/>
        </w:rPr>
        <w:t xml:space="preserve">Urgent gadolinium-enhanced magnetic resonance imaging (MRI) of the spine </w:t>
      </w:r>
      <w:r>
        <w:rPr>
          <w:rFonts w:ascii="MyriadPro-Light" w:hAnsi="MyriadPro-Light" w:cs="MyriadPro-Light"/>
          <w:color w:val="000000"/>
          <w:sz w:val="20"/>
          <w:szCs w:val="20"/>
        </w:rPr>
        <w:t xml:space="preserve">showed long segment TM over the </w:t>
      </w:r>
      <w:r>
        <w:rPr>
          <w:rFonts w:ascii="MyriadPro-Light" w:hAnsi="MyriadPro-Light" w:cs="MyriadPro-Light"/>
          <w:color w:val="000000"/>
          <w:sz w:val="20"/>
          <w:szCs w:val="20"/>
        </w:rPr>
        <w:t xml:space="preserve">thoracic region. Cerebrospinal fluid autoantibodies for anti-aquaporin-4 </w:t>
      </w:r>
      <w:r>
        <w:rPr>
          <w:rFonts w:ascii="MyriadPro-Light" w:hAnsi="MyriadPro-Light" w:cs="MyriadPro-Light"/>
          <w:color w:val="000000"/>
          <w:sz w:val="20"/>
          <w:szCs w:val="20"/>
        </w:rPr>
        <w:t xml:space="preserve">and anti-myelin-oligodendrocyte were negative. </w:t>
      </w:r>
      <w:r>
        <w:rPr>
          <w:rFonts w:ascii="MyriadPro-Light" w:hAnsi="MyriadPro-Light" w:cs="MyriadPro-Light"/>
          <w:color w:val="000000"/>
          <w:sz w:val="20"/>
          <w:szCs w:val="20"/>
        </w:rPr>
        <w:t>A diagnosis of LETM following vaccination was made, and the patient was starte</w:t>
      </w:r>
      <w:r>
        <w:rPr>
          <w:rFonts w:ascii="MyriadPro-Light" w:hAnsi="MyriadPro-Light" w:cs="MyriadPro-Light"/>
          <w:color w:val="000000"/>
          <w:sz w:val="20"/>
          <w:szCs w:val="20"/>
        </w:rPr>
        <w:t xml:space="preserve">d on a high dose of intravenous </w:t>
      </w:r>
      <w:r>
        <w:rPr>
          <w:rFonts w:ascii="MyriadPro-Light" w:hAnsi="MyriadPro-Light" w:cs="MyriadPro-Light"/>
          <w:color w:val="000000"/>
          <w:sz w:val="20"/>
          <w:szCs w:val="20"/>
        </w:rPr>
        <w:t>methylprednisolone. The patient eventually made a recovery following treatment.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20"/>
          <w:szCs w:val="20"/>
        </w:rPr>
      </w:pPr>
      <w:r w:rsidRPr="008E4B50">
        <w:rPr>
          <w:rFonts w:ascii="MyriadPro-Semibold" w:hAnsi="MyriadPro-Semibold" w:cs="MyriadPro-Semibold"/>
          <w:b/>
          <w:bCs/>
          <w:color w:val="000000"/>
          <w:sz w:val="20"/>
          <w:szCs w:val="20"/>
        </w:rPr>
        <w:t>Conclusion:</w:t>
      </w:r>
      <w:r>
        <w:rPr>
          <w:rFonts w:ascii="MyriadPro-Semibold" w:hAnsi="MyriadPro-Semibold" w:cs="MyriadPro-Semibold"/>
          <w:color w:val="000000"/>
          <w:sz w:val="20"/>
          <w:szCs w:val="20"/>
        </w:rPr>
        <w:t xml:space="preserve"> </w:t>
      </w:r>
      <w:r>
        <w:rPr>
          <w:rFonts w:ascii="MyriadPro-Light" w:hAnsi="MyriadPro-Light" w:cs="MyriadPro-Light"/>
          <w:color w:val="000000"/>
          <w:sz w:val="20"/>
          <w:szCs w:val="20"/>
        </w:rPr>
        <w:t>LETM is a rare but serious adverse reaction following vaccination. Prev</w:t>
      </w:r>
      <w:r>
        <w:rPr>
          <w:rFonts w:ascii="MyriadPro-Light" w:hAnsi="MyriadPro-Light" w:cs="MyriadPro-Light"/>
          <w:color w:val="000000"/>
          <w:sz w:val="20"/>
          <w:szCs w:val="20"/>
        </w:rPr>
        <w:t xml:space="preserve">iously reported cases showed an </w:t>
      </w:r>
      <w:r>
        <w:rPr>
          <w:rFonts w:ascii="MyriadPro-Light" w:hAnsi="MyriadPro-Light" w:cs="MyriadPro-Light"/>
          <w:color w:val="000000"/>
          <w:sz w:val="20"/>
          <w:szCs w:val="20"/>
        </w:rPr>
        <w:t xml:space="preserve">onset of symptoms between 10 to 14 </w:t>
      </w:r>
      <w:proofErr w:type="gramStart"/>
      <w:r>
        <w:rPr>
          <w:rFonts w:ascii="MyriadPro-Light" w:hAnsi="MyriadPro-Light" w:cs="MyriadPro-Light"/>
          <w:color w:val="000000"/>
          <w:sz w:val="20"/>
          <w:szCs w:val="20"/>
        </w:rPr>
        <w:t>days</w:t>
      </w:r>
      <w:proofErr w:type="gramEnd"/>
      <w:r>
        <w:rPr>
          <w:rFonts w:ascii="MyriadPro-Light" w:hAnsi="MyriadPro-Light" w:cs="MyriadPro-Light"/>
          <w:color w:val="000000"/>
          <w:sz w:val="20"/>
          <w:szCs w:val="20"/>
        </w:rPr>
        <w:t xml:space="preserve"> post-vaccination, suggesting a delayed</w:t>
      </w:r>
      <w:r>
        <w:rPr>
          <w:rFonts w:ascii="MyriadPro-Light" w:hAnsi="MyriadPro-Light" w:cs="MyriadPro-Light"/>
          <w:color w:val="000000"/>
          <w:sz w:val="20"/>
          <w:szCs w:val="20"/>
        </w:rPr>
        <w:t xml:space="preserve"> immunogenic reaction. However, </w:t>
      </w:r>
      <w:r>
        <w:rPr>
          <w:rFonts w:ascii="MyriadPro-Light" w:hAnsi="MyriadPro-Light" w:cs="MyriadPro-Light"/>
          <w:color w:val="000000"/>
          <w:sz w:val="20"/>
          <w:szCs w:val="20"/>
        </w:rPr>
        <w:t>the incidence of myelitis in CO</w:t>
      </w:r>
      <w:r>
        <w:rPr>
          <w:rFonts w:ascii="MyriadPro-Light" w:hAnsi="MyriadPro-Light" w:cs="MyriadPro-Light"/>
          <w:color w:val="000000"/>
          <w:sz w:val="20"/>
          <w:szCs w:val="20"/>
        </w:rPr>
        <w:t xml:space="preserve">VID-19 is much more common, far </w:t>
      </w:r>
      <w:r>
        <w:rPr>
          <w:rFonts w:ascii="MyriadPro-Light" w:hAnsi="MyriadPro-Light" w:cs="MyriadPro-Light"/>
          <w:color w:val="000000"/>
          <w:sz w:val="20"/>
          <w:szCs w:val="20"/>
        </w:rPr>
        <w:t>greater than the risk associated with vaccination.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20"/>
          <w:szCs w:val="20"/>
        </w:rPr>
      </w:pP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20"/>
          <w:szCs w:val="20"/>
        </w:rPr>
      </w:pPr>
      <w:r w:rsidRPr="00B37A40">
        <w:rPr>
          <w:rFonts w:ascii="MyriadPro-Semibold" w:hAnsi="MyriadPro-Semibold" w:cs="MyriadPro-Semibold"/>
          <w:b/>
          <w:bCs/>
          <w:color w:val="000000"/>
          <w:sz w:val="20"/>
          <w:szCs w:val="20"/>
        </w:rPr>
        <w:t>Keywords</w:t>
      </w:r>
      <w:r>
        <w:rPr>
          <w:rFonts w:ascii="MyriadPro-Semibold" w:hAnsi="MyriadPro-Semibold" w:cs="MyriadPro-Semibold"/>
          <w:color w:val="000000"/>
          <w:sz w:val="20"/>
          <w:szCs w:val="20"/>
        </w:rPr>
        <w:t xml:space="preserve">: </w:t>
      </w:r>
      <w:r>
        <w:rPr>
          <w:rFonts w:ascii="MyriadPro-Light" w:hAnsi="MyriadPro-Light" w:cs="MyriadPro-Light"/>
          <w:color w:val="000000"/>
          <w:sz w:val="20"/>
          <w:szCs w:val="20"/>
        </w:rPr>
        <w:t>Myelitis, transverse, COVID-19, Vaccination, Malaysia, Case report</w:t>
      </w:r>
    </w:p>
    <w:p w:rsidR="00B37A40" w:rsidRDefault="00B37A4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20"/>
          <w:szCs w:val="20"/>
        </w:rPr>
      </w:pP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4"/>
          <w:szCs w:val="14"/>
        </w:rPr>
      </w:pP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hAnsi="MyriadPro-Bold" w:cs="MyriadPro-Bold"/>
          <w:b/>
          <w:bCs/>
          <w:color w:val="000000"/>
          <w:sz w:val="21"/>
          <w:szCs w:val="21"/>
        </w:rPr>
      </w:pPr>
      <w:r>
        <w:rPr>
          <w:rFonts w:ascii="MyriadPro-Bold" w:hAnsi="MyriadPro-Bold" w:cs="MyriadPro-Bold"/>
          <w:b/>
          <w:bCs/>
          <w:color w:val="000000"/>
          <w:sz w:val="21"/>
          <w:szCs w:val="21"/>
        </w:rPr>
        <w:t>Background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WarnockPro-Regular" w:hAnsi="WarnockPro-Regular" w:cs="WarnockPro-Regular"/>
          <w:color w:val="000000"/>
          <w:sz w:val="20"/>
          <w:szCs w:val="20"/>
        </w:rPr>
      </w:pPr>
      <w:r>
        <w:rPr>
          <w:rFonts w:ascii="WarnockPro-Regular" w:hAnsi="WarnockPro-Regular" w:cs="WarnockPro-Regular"/>
          <w:color w:val="000000"/>
          <w:sz w:val="20"/>
          <w:szCs w:val="20"/>
        </w:rPr>
        <w:t>In the biggest vaccination campaign of ou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r times, more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than 3 billion doses of COVID-19 vaccines have been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WarnockPro-Regular" w:hAnsi="WarnockPro-Regular" w:cs="WarnockPro-Regular"/>
          <w:color w:val="000000"/>
          <w:sz w:val="20"/>
          <w:szCs w:val="20"/>
        </w:rPr>
      </w:pPr>
      <w:r>
        <w:rPr>
          <w:rFonts w:ascii="WarnockPro-Regular" w:hAnsi="WarnockPro-Regular" w:cs="WarnockPro-Regular"/>
          <w:color w:val="000000"/>
          <w:sz w:val="20"/>
          <w:szCs w:val="20"/>
        </w:rPr>
        <w:t>administered worldwide thus far [</w:t>
      </w:r>
      <w:r>
        <w:rPr>
          <w:rFonts w:ascii="WarnockPro-Regular" w:hAnsi="WarnockPro-Regular" w:cs="WarnockPro-Regular"/>
          <w:color w:val="0000FF"/>
          <w:sz w:val="20"/>
          <w:szCs w:val="20"/>
        </w:rPr>
        <w:t>1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]. Concern regarding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neurological complications reported as an adverse event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WarnockPro-Regular" w:hAnsi="WarnockPro-Regular" w:cs="WarnockPro-Regular"/>
          <w:color w:val="000000"/>
          <w:sz w:val="20"/>
          <w:szCs w:val="20"/>
        </w:rPr>
      </w:pP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following </w:t>
      </w:r>
      <w:proofErr w:type="spellStart"/>
      <w:r>
        <w:rPr>
          <w:rFonts w:ascii="WarnockPro-Regular" w:hAnsi="WarnockPro-Regular" w:cs="WarnockPro-Regular"/>
          <w:color w:val="000000"/>
          <w:sz w:val="20"/>
          <w:szCs w:val="20"/>
        </w:rPr>
        <w:t>immunisation</w:t>
      </w:r>
      <w:proofErr w:type="spellEnd"/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 (AEFI) escalated following the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report of two participants du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ring the chimpanzee adenovirus-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vectored (ChA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dOx1 nCoV-19) vaccine (AZD1222)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safety and efficacy trial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 developing transverse myelitis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(TM) [</w:t>
      </w:r>
      <w:r>
        <w:rPr>
          <w:rFonts w:ascii="WarnockPro-Regular" w:hAnsi="WarnockPro-Regular" w:cs="WarnockPro-Regular"/>
          <w:color w:val="0000FF"/>
          <w:sz w:val="20"/>
          <w:szCs w:val="20"/>
        </w:rPr>
        <w:t>2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, </w:t>
      </w:r>
      <w:r>
        <w:rPr>
          <w:rFonts w:ascii="WarnockPro-Regular" w:hAnsi="WarnockPro-Regular" w:cs="WarnockPro-Regular"/>
          <w:color w:val="0000FF"/>
          <w:sz w:val="20"/>
          <w:szCs w:val="20"/>
        </w:rPr>
        <w:t>3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]. Although it wa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s deemed unlikely to be related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to vaccination (pre-existing multiple sclerosis) in the fir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st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patient, the developme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nt of idiopathic, short segment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spinal cord demyelinati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on in the second patient, which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occurred 14 days following bo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oster vaccination, was possibly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vaccine-related. We r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eport the first case of LETM in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Malaysia following the adminis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tration of the recombinant,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viral-vectored ChAdOx1 nCOV-19 vaccine.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hAnsi="MyriadPro-Bold" w:cs="MyriadPro-Bold"/>
          <w:b/>
          <w:bCs/>
          <w:color w:val="000000"/>
          <w:sz w:val="21"/>
          <w:szCs w:val="21"/>
        </w:rPr>
      </w:pP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hAnsi="MyriadPro-Bold" w:cs="MyriadPro-Bold"/>
          <w:b/>
          <w:bCs/>
          <w:color w:val="000000"/>
          <w:sz w:val="21"/>
          <w:szCs w:val="21"/>
        </w:rPr>
      </w:pPr>
      <w:r>
        <w:rPr>
          <w:rFonts w:ascii="MyriadPro-Bold" w:hAnsi="MyriadPro-Bold" w:cs="MyriadPro-Bold"/>
          <w:b/>
          <w:bCs/>
          <w:color w:val="000000"/>
          <w:sz w:val="21"/>
          <w:szCs w:val="21"/>
        </w:rPr>
        <w:t>Case presentation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WarnockPro-Regular" w:hAnsi="WarnockPro-Regular" w:cs="WarnockPro-Regular"/>
          <w:color w:val="000000"/>
          <w:sz w:val="20"/>
          <w:szCs w:val="20"/>
        </w:rPr>
      </w:pPr>
      <w:r>
        <w:rPr>
          <w:rFonts w:ascii="WarnockPro-Regular" w:hAnsi="WarnockPro-Regular" w:cs="WarnockPro-Regular"/>
          <w:color w:val="000000"/>
          <w:sz w:val="20"/>
          <w:szCs w:val="20"/>
        </w:rPr>
        <w:t>The patient is a 25-year-o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ld female with no comorbidities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who presen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ted to the emergency department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on day 16 followin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g her first dose of the ChAdOx1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nCOV-19 vaccine complaining of ina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bility to walk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and urinary retent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ion. She developed fever during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the first 48 h following the </w:t>
      </w:r>
      <w:r w:rsidR="00BE32F5">
        <w:rPr>
          <w:rFonts w:ascii="WarnockPro-Regular" w:hAnsi="WarnockPro-Regular" w:cs="WarnockPro-Regular"/>
          <w:color w:val="000000"/>
          <w:sz w:val="20"/>
          <w:szCs w:val="20"/>
        </w:rPr>
        <w:t xml:space="preserve">vaccination, which subsequently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resolved. From d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ay five onwards, she complained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of myalgia of h</w:t>
      </w:r>
      <w:r w:rsidR="00BE32F5">
        <w:rPr>
          <w:rFonts w:ascii="WarnockPro-Regular" w:hAnsi="WarnockPro-Regular" w:cs="WarnockPro-Regular"/>
          <w:color w:val="000000"/>
          <w:sz w:val="20"/>
          <w:szCs w:val="20"/>
        </w:rPr>
        <w:t xml:space="preserve">er lower limbs, especially upon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walking up stairs. There was a furt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her onset of fever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with progressive bilat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eral lower limb weakness on day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12. By day 16, she was unable to stand and developed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urinary retention. There </w:t>
      </w:r>
      <w:proofErr w:type="gramStart"/>
      <w:r>
        <w:rPr>
          <w:rFonts w:ascii="WarnockPro-Regular" w:hAnsi="WarnockPro-Regular" w:cs="WarnockPro-Regular"/>
          <w:color w:val="000000"/>
          <w:sz w:val="20"/>
          <w:szCs w:val="20"/>
        </w:rPr>
        <w:t>were</w:t>
      </w:r>
      <w:proofErr w:type="gramEnd"/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 no visual, respiratory or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gastrointestinal sy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mptoms. On examination, she was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afebrile with normal v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ital signs and had numbness and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allodynia below the T8 sp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inal level. In the lower limbs,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there was bilateral hypertonia with reduced power (3/5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WarnockPro-Regular" w:hAnsi="WarnockPro-Regular" w:cs="WarnockPro-Regular"/>
          <w:color w:val="000000"/>
          <w:sz w:val="20"/>
          <w:szCs w:val="20"/>
        </w:rPr>
      </w:pPr>
      <w:r>
        <w:rPr>
          <w:rFonts w:ascii="WarnockPro-Regular" w:hAnsi="WarnockPro-Regular" w:cs="WarnockPro-Regular"/>
          <w:color w:val="000000"/>
          <w:sz w:val="20"/>
          <w:szCs w:val="20"/>
        </w:rPr>
        <w:lastRenderedPageBreak/>
        <w:t>proximally and distal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ly) along with exaggerated deep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tendon reflexes at the knees and ankl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es with </w:t>
      </w:r>
      <w:proofErr w:type="spellStart"/>
      <w:r>
        <w:rPr>
          <w:rFonts w:ascii="WarnockPro-Regular" w:hAnsi="WarnockPro-Regular" w:cs="WarnockPro-Regular"/>
          <w:color w:val="000000"/>
          <w:sz w:val="20"/>
          <w:szCs w:val="20"/>
        </w:rPr>
        <w:t>upgoing</w:t>
      </w:r>
      <w:proofErr w:type="spellEnd"/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plantar. Upper limb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 and cranial nerve examinations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were normal, along wit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h no evidence of optic neuritis or cerebellar signs. Blood investigations revealed </w:t>
      </w:r>
      <w:proofErr w:type="spellStart"/>
      <w:r>
        <w:rPr>
          <w:rFonts w:ascii="WarnockPro-Regular" w:hAnsi="WarnockPro-Regular" w:cs="WarnockPro-Regular"/>
          <w:color w:val="000000"/>
          <w:sz w:val="20"/>
          <w:szCs w:val="20"/>
        </w:rPr>
        <w:t>haemoglobin</w:t>
      </w:r>
      <w:proofErr w:type="spellEnd"/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 of 15.0 g/</w:t>
      </w:r>
      <w:proofErr w:type="spellStart"/>
      <w:r>
        <w:rPr>
          <w:rFonts w:ascii="WarnockPro-Regular" w:hAnsi="WarnockPro-Regular" w:cs="WarnockPro-Regular"/>
          <w:color w:val="000000"/>
          <w:sz w:val="20"/>
          <w:szCs w:val="20"/>
        </w:rPr>
        <w:t>dL</w:t>
      </w:r>
      <w:proofErr w:type="spellEnd"/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 with total white cells of 8.12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x 10</w:t>
      </w:r>
      <w:r>
        <w:rPr>
          <w:rFonts w:ascii="WarnockPro-Regular" w:hAnsi="WarnockPro-Regular" w:cs="WarnockPro-Regular"/>
          <w:color w:val="000000"/>
          <w:sz w:val="14"/>
          <w:szCs w:val="14"/>
        </w:rPr>
        <w:t>3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μ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L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(81% neutrophils and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 15% lymphocytes) and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platelets of 285 x 10</w:t>
      </w:r>
      <w:r>
        <w:rPr>
          <w:rFonts w:ascii="WarnockPro-Regular" w:hAnsi="WarnockPro-Regular" w:cs="WarnockPro-Regular"/>
          <w:color w:val="000000"/>
          <w:sz w:val="14"/>
          <w:szCs w:val="14"/>
        </w:rPr>
        <w:t>3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μ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L. Renal and liver functions test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were normal. Erythr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ocytes sedimentation rate (ESR)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was 21 mm/hr. (upper 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limit normal). Urine microscopy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revealed the prese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nce of leucocytes and bacteria,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which culture eventuall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y showed no growth.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Urgent gadolinium-enha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nced magnetic resonance imaging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(MRI) of the who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le spine revealed multi-segment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T2-hyperintensities (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T3-T5, T7-T8 and T11-L1), which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showed variable cord enh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ancement post-contrast at T7-T8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lesions (Figs. </w:t>
      </w:r>
      <w:r>
        <w:rPr>
          <w:rFonts w:ascii="WarnockPro-Regular" w:hAnsi="WarnockPro-Regular" w:cs="WarnockPro-Regular"/>
          <w:color w:val="0000FF"/>
          <w:sz w:val="20"/>
          <w:szCs w:val="20"/>
        </w:rPr>
        <w:t>1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, </w:t>
      </w:r>
      <w:r>
        <w:rPr>
          <w:rFonts w:ascii="WarnockPro-Regular" w:hAnsi="WarnockPro-Regular" w:cs="WarnockPro-Regular"/>
          <w:color w:val="0000FF"/>
          <w:sz w:val="20"/>
          <w:szCs w:val="20"/>
        </w:rPr>
        <w:t>2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, and </w:t>
      </w:r>
      <w:r>
        <w:rPr>
          <w:rFonts w:ascii="WarnockPro-Regular" w:hAnsi="WarnockPro-Regular" w:cs="WarnockPro-Regular"/>
          <w:color w:val="0000FF"/>
          <w:sz w:val="20"/>
          <w:szCs w:val="20"/>
        </w:rPr>
        <w:t>3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). </w:t>
      </w:r>
      <w:proofErr w:type="spellStart"/>
      <w:r>
        <w:rPr>
          <w:rFonts w:ascii="WarnockPro-Regular" w:hAnsi="WarnockPro-Regular" w:cs="WarnockPro-Regular"/>
          <w:color w:val="000000"/>
          <w:sz w:val="20"/>
          <w:szCs w:val="20"/>
        </w:rPr>
        <w:t>V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>isualised</w:t>
      </w:r>
      <w:proofErr w:type="spellEnd"/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 MRI brain was </w:t>
      </w:r>
      <w:proofErr w:type="spellStart"/>
      <w:proofErr w:type="gramStart"/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>normal.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Cerebrospinal</w:t>
      </w:r>
      <w:proofErr w:type="spellEnd"/>
      <w:proofErr w:type="gramEnd"/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 fluid (CSF) ex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amination showed </w:t>
      </w:r>
      <w:proofErr w:type="spellStart"/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>clearappearing</w:t>
      </w:r>
      <w:proofErr w:type="spellEnd"/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CSF with an ele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vated protein count of 546 mg/L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(normal range: 150 -400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) and CSF glucose of 3.1 </w:t>
      </w:r>
      <w:proofErr w:type="spellStart"/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>mmol</w:t>
      </w:r>
      <w:proofErr w:type="spellEnd"/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/L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(serum glucose of 5.6 </w:t>
      </w:r>
      <w:proofErr w:type="spellStart"/>
      <w:r>
        <w:rPr>
          <w:rFonts w:ascii="WarnockPro-Regular" w:hAnsi="WarnockPro-Regular" w:cs="WarnockPro-Regular"/>
          <w:color w:val="000000"/>
          <w:sz w:val="20"/>
          <w:szCs w:val="20"/>
        </w:rPr>
        <w:t>mmo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>l</w:t>
      </w:r>
      <w:proofErr w:type="spellEnd"/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/L). No acid-fast bacilli were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seen, and no growth 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was obtained from CSF and blood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culture. CSF anti-aquaporin 4 (AQ-4)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 and anti-</w:t>
      </w:r>
      <w:proofErr w:type="spellStart"/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>myelinoligodendrocyte</w:t>
      </w:r>
      <w:proofErr w:type="spellEnd"/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were nega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tive. No </w:t>
      </w:r>
      <w:proofErr w:type="spellStart"/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>oligoclonal</w:t>
      </w:r>
      <w:proofErr w:type="spellEnd"/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 bands were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detected in CSF. Connect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ive tissue screening, including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antinuclear antibody and rh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eumatoid factor, were negative.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Somatosensory evoked potent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ial (SSEP) and nerve conduction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study were norm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al. She was diagnosed with LETM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following COVID-19 vaccina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tion and started on intravenous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methylprednisolone 1000 mg daily 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for 5 days. The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patient was also started on i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ntravenous ceftriaxone covering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for urinary tract infect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ion for 5 days and subcutaneous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enoxaparin for deep ven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ous thrombosis prophylaxis. The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patient responded to t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he treatment and was discharged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after 1 week. Upon discharg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e, the patient was able to walk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about ten steps but was s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till limited given ongoing pain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and numbness, mainly at 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the distal lower limb up to the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knee. Her urinary incontin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ence resolved. Two weeks later,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the patient was able to walk without ass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istance; however,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she still had persistent neuropathic pain up to the knees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WarnockPro-Regular" w:hAnsi="WarnockPro-Regular" w:cs="WarnockPro-Regular"/>
          <w:color w:val="000000"/>
          <w:sz w:val="20"/>
          <w:szCs w:val="20"/>
        </w:rPr>
      </w:pPr>
      <w:r>
        <w:rPr>
          <w:rFonts w:ascii="WarnockPro-Regular" w:hAnsi="WarnockPro-Regular" w:cs="WarnockPro-Regular"/>
          <w:color w:val="000000"/>
          <w:sz w:val="20"/>
          <w:szCs w:val="20"/>
        </w:rPr>
        <w:t>bilaterally. She was unders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tandably distraught, but at </w:t>
      </w:r>
      <w:proofErr w:type="spellStart"/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>the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same</w:t>
      </w:r>
      <w:proofErr w:type="spellEnd"/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 time, encouraged by her gradually </w:t>
      </w:r>
      <w:proofErr w:type="gramStart"/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improving 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 condition</w:t>
      </w:r>
      <w:proofErr w:type="gramEnd"/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.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She will continue 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to be on a regular follow-up to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observe the recurrence of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 symptoms and monitor recovery.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Despite the adverse ev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ent, the patient is keen on the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COVID-19 vaccine, w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here we suggested an mRNA based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vaccine in 1 month following the index event.</w:t>
      </w:r>
    </w:p>
    <w:p w:rsidR="009637B3" w:rsidRDefault="009637B3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hAnsi="MyriadPro-Bold" w:cs="MyriadPro-Bold"/>
          <w:b/>
          <w:bCs/>
          <w:color w:val="000000"/>
          <w:sz w:val="21"/>
          <w:szCs w:val="21"/>
        </w:rPr>
      </w:pP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hAnsi="MyriadPro-Bold" w:cs="MyriadPro-Bold"/>
          <w:b/>
          <w:bCs/>
          <w:color w:val="000000"/>
          <w:sz w:val="21"/>
          <w:szCs w:val="21"/>
        </w:rPr>
      </w:pPr>
      <w:r>
        <w:rPr>
          <w:rFonts w:ascii="MyriadPro-Bold" w:hAnsi="MyriadPro-Bold" w:cs="MyriadPro-Bold"/>
          <w:b/>
          <w:bCs/>
          <w:color w:val="000000"/>
          <w:sz w:val="21"/>
          <w:szCs w:val="21"/>
        </w:rPr>
        <w:t>Discussion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WarnockPro-Regular" w:hAnsi="WarnockPro-Regular" w:cs="WarnockPro-Regular"/>
          <w:color w:val="000000"/>
          <w:sz w:val="20"/>
          <w:szCs w:val="20"/>
        </w:rPr>
      </w:pPr>
      <w:r>
        <w:rPr>
          <w:rFonts w:ascii="WarnockPro-Regular" w:hAnsi="WarnockPro-Regular" w:cs="WarnockPro-Regular"/>
          <w:color w:val="000000"/>
          <w:sz w:val="20"/>
          <w:szCs w:val="20"/>
        </w:rPr>
        <w:t>TM is a relatively uncommon condition with an es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timated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incidence between</w:t>
      </w:r>
      <w:r w:rsidR="00BE32F5">
        <w:rPr>
          <w:rFonts w:ascii="WarnockPro-Regular" w:hAnsi="WarnockPro-Regular" w:cs="WarnockPro-Regular"/>
          <w:color w:val="000000"/>
          <w:sz w:val="20"/>
          <w:szCs w:val="20"/>
        </w:rPr>
        <w:t xml:space="preserve"> 1.34 and 4.6 cases per million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annually [</w:t>
      </w:r>
      <w:r>
        <w:rPr>
          <w:rFonts w:ascii="WarnockPro-Regular" w:hAnsi="WarnockPro-Regular" w:cs="WarnockPro-Regular"/>
          <w:color w:val="0000FF"/>
          <w:sz w:val="20"/>
          <w:szCs w:val="20"/>
        </w:rPr>
        <w:t>4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], and vacc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ine-associated myelitis is even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rarer. Nine cases of TM w</w:t>
      </w:r>
      <w:r w:rsidR="00BE32F5">
        <w:rPr>
          <w:rFonts w:ascii="WarnockPro-Regular" w:hAnsi="WarnockPro-Regular" w:cs="WarnockPro-Regular"/>
          <w:color w:val="000000"/>
          <w:sz w:val="20"/>
          <w:szCs w:val="20"/>
        </w:rPr>
        <w:t xml:space="preserve">ere reported in the Centers </w:t>
      </w:r>
      <w:proofErr w:type="gramStart"/>
      <w:r w:rsidR="00BE32F5">
        <w:rPr>
          <w:rFonts w:ascii="WarnockPro-Regular" w:hAnsi="WarnockPro-Regular" w:cs="WarnockPro-Regular"/>
          <w:color w:val="000000"/>
          <w:sz w:val="20"/>
          <w:szCs w:val="20"/>
        </w:rPr>
        <w:t xml:space="preserve">for </w:t>
      </w:r>
      <w:r w:rsidR="00BE32F5">
        <w:rPr>
          <w:rFonts w:ascii="MyriadPro-Light" w:hAnsi="MyriadPro-Light" w:cs="MyriadPro-Light"/>
          <w:color w:val="000000"/>
          <w:sz w:val="16"/>
          <w:szCs w:val="16"/>
        </w:rPr>
        <w:t xml:space="preserve">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Disease</w:t>
      </w:r>
      <w:proofErr w:type="gramEnd"/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 Control (CDC)‘s 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Vaccine Adverse Event Reporting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System (VAERS) rela</w:t>
      </w:r>
      <w:r w:rsidR="00BE32F5">
        <w:rPr>
          <w:rFonts w:ascii="WarnockPro-Regular" w:hAnsi="WarnockPro-Regular" w:cs="WarnockPro-Regular"/>
          <w:color w:val="000000"/>
          <w:sz w:val="20"/>
          <w:szCs w:val="20"/>
        </w:rPr>
        <w:t>ted to Pfizer-</w:t>
      </w:r>
      <w:proofErr w:type="spellStart"/>
      <w:r w:rsidR="00BE32F5">
        <w:rPr>
          <w:rFonts w:ascii="WarnockPro-Regular" w:hAnsi="WarnockPro-Regular" w:cs="WarnockPro-Regular"/>
          <w:color w:val="000000"/>
          <w:sz w:val="20"/>
          <w:szCs w:val="20"/>
        </w:rPr>
        <w:t>BioNTech</w:t>
      </w:r>
      <w:proofErr w:type="spellEnd"/>
      <w:r w:rsidR="00BE32F5">
        <w:rPr>
          <w:rFonts w:ascii="WarnockPro-Regular" w:hAnsi="WarnockPro-Regular" w:cs="WarnockPro-Regular"/>
          <w:color w:val="000000"/>
          <w:sz w:val="20"/>
          <w:szCs w:val="20"/>
        </w:rPr>
        <w:t xml:space="preserve">, </w:t>
      </w:r>
      <w:proofErr w:type="spellStart"/>
      <w:r w:rsidR="00BE32F5">
        <w:rPr>
          <w:rFonts w:ascii="WarnockPro-Regular" w:hAnsi="WarnockPro-Regular" w:cs="WarnockPro-Regular"/>
          <w:color w:val="000000"/>
          <w:sz w:val="20"/>
          <w:szCs w:val="20"/>
        </w:rPr>
        <w:t>Moderna</w:t>
      </w:r>
      <w:proofErr w:type="spellEnd"/>
      <w:r w:rsidR="00BE32F5">
        <w:rPr>
          <w:rFonts w:ascii="WarnockPro-Regular" w:hAnsi="WarnockPro-Regular" w:cs="WarnockPro-Regular"/>
          <w:color w:val="000000"/>
          <w:sz w:val="20"/>
          <w:szCs w:val="20"/>
        </w:rPr>
        <w:t xml:space="preserve">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and Johnson &amp; Johnson’s COVID-19 vaccine [</w:t>
      </w:r>
      <w:r>
        <w:rPr>
          <w:rFonts w:ascii="WarnockPro-Regular" w:hAnsi="WarnockPro-Regular" w:cs="WarnockPro-Regular"/>
          <w:color w:val="0000FF"/>
          <w:sz w:val="20"/>
          <w:szCs w:val="20"/>
        </w:rPr>
        <w:t>5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].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One case has been deemed likely 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related to the ChAdOx1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nCOV-19 (AstraZeneca</w:t>
      </w:r>
      <w:r>
        <w:rPr>
          <w:rFonts w:ascii="STIXMath-Regular" w:hAnsi="STIXMath-Regular" w:cs="STIXMath-Regular"/>
          <w:color w:val="000000"/>
          <w:sz w:val="14"/>
          <w:szCs w:val="14"/>
        </w:rPr>
        <w:t>™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) vaccine during the efficacy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and safety trials [</w:t>
      </w:r>
      <w:r>
        <w:rPr>
          <w:rFonts w:ascii="WarnockPro-Regular" w:hAnsi="WarnockPro-Regular" w:cs="WarnockPro-Regular"/>
          <w:color w:val="0000FF"/>
          <w:sz w:val="20"/>
          <w:szCs w:val="20"/>
        </w:rPr>
        <w:t>2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, </w:t>
      </w:r>
      <w:r>
        <w:rPr>
          <w:rFonts w:ascii="WarnockPro-Regular" w:hAnsi="WarnockPro-Regular" w:cs="WarnockPro-Regular"/>
          <w:color w:val="0000FF"/>
          <w:sz w:val="20"/>
          <w:szCs w:val="20"/>
        </w:rPr>
        <w:t>3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].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 Along with previously reported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cases, our case suggests a te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mporal relationship of symptom-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onset between </w:t>
      </w:r>
      <w:r w:rsidR="00BE32F5">
        <w:rPr>
          <w:rFonts w:ascii="WarnockPro-Regular" w:hAnsi="WarnockPro-Regular" w:cs="WarnockPro-Regular"/>
          <w:color w:val="000000"/>
          <w:sz w:val="20"/>
          <w:szCs w:val="20"/>
        </w:rPr>
        <w:t xml:space="preserve">10 to 14 days following ChAdOX1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nCOV-19 vaccine administ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ration, possibly due to delayed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immunological reactions [</w:t>
      </w:r>
      <w:r>
        <w:rPr>
          <w:rFonts w:ascii="WarnockPro-Regular" w:hAnsi="WarnockPro-Regular" w:cs="WarnockPro-Regular"/>
          <w:color w:val="0000FF"/>
          <w:sz w:val="20"/>
          <w:szCs w:val="20"/>
        </w:rPr>
        <w:t>2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, </w:t>
      </w:r>
      <w:r>
        <w:rPr>
          <w:rFonts w:ascii="WarnockPro-Regular" w:hAnsi="WarnockPro-Regular" w:cs="WarnockPro-Regular"/>
          <w:color w:val="0000FF"/>
          <w:sz w:val="20"/>
          <w:szCs w:val="20"/>
        </w:rPr>
        <w:t>3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, </w:t>
      </w:r>
      <w:r>
        <w:rPr>
          <w:rFonts w:ascii="WarnockPro-Regular" w:hAnsi="WarnockPro-Regular" w:cs="WarnockPro-Regular"/>
          <w:color w:val="0000FF"/>
          <w:sz w:val="20"/>
          <w:szCs w:val="20"/>
        </w:rPr>
        <w:t>6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–</w:t>
      </w:r>
      <w:r>
        <w:rPr>
          <w:rFonts w:ascii="WarnockPro-Regular" w:hAnsi="WarnockPro-Regular" w:cs="WarnockPro-Regular"/>
          <w:color w:val="0000FF"/>
          <w:sz w:val="20"/>
          <w:szCs w:val="20"/>
        </w:rPr>
        <w:t>8</w:t>
      </w:r>
      <w:r w:rsidR="00BE32F5">
        <w:rPr>
          <w:rFonts w:ascii="WarnockPro-Regular" w:hAnsi="WarnockPro-Regular" w:cs="WarnockPro-Regular"/>
          <w:color w:val="000000"/>
          <w:sz w:val="20"/>
          <w:szCs w:val="20"/>
        </w:rPr>
        <w:t xml:space="preserve">]. In addition, possible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molecular mimicry by the viral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 vector may induce autoimmunity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by a cascade of in</w:t>
      </w:r>
      <w:r w:rsidR="00BE32F5">
        <w:rPr>
          <w:rFonts w:ascii="WarnockPro-Regular" w:hAnsi="WarnockPro-Regular" w:cs="WarnockPro-Regular"/>
          <w:color w:val="000000"/>
          <w:sz w:val="20"/>
          <w:szCs w:val="20"/>
        </w:rPr>
        <w:t xml:space="preserve">flammatory reactions propagated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via dendritic and T-cells [</w:t>
      </w:r>
      <w:r>
        <w:rPr>
          <w:rFonts w:ascii="WarnockPro-Regular" w:hAnsi="WarnockPro-Regular" w:cs="WarnockPro-Regular"/>
          <w:color w:val="0000FF"/>
          <w:sz w:val="20"/>
          <w:szCs w:val="20"/>
        </w:rPr>
        <w:t>7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]. In o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ther vaccines, such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as </w:t>
      </w:r>
      <w:proofErr w:type="spellStart"/>
      <w:r>
        <w:rPr>
          <w:rFonts w:ascii="WarnockPro-Regular" w:hAnsi="WarnockPro-Regular" w:cs="WarnockPro-Regular"/>
          <w:color w:val="000000"/>
          <w:sz w:val="20"/>
          <w:szCs w:val="20"/>
        </w:rPr>
        <w:t>alumuinium</w:t>
      </w:r>
      <w:proofErr w:type="spellEnd"/>
      <w:r>
        <w:rPr>
          <w:rFonts w:ascii="WarnockPro-Regular" w:hAnsi="WarnockPro-Regular" w:cs="WarnockPro-Regular"/>
          <w:color w:val="000000"/>
          <w:sz w:val="20"/>
          <w:szCs w:val="20"/>
        </w:rPr>
        <w:t>-contain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ing vaccines, adjuvants used to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amplify the immune res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ponse have been associated with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autoimmunity [</w:t>
      </w:r>
      <w:r>
        <w:rPr>
          <w:rFonts w:ascii="WarnockPro-Regular" w:hAnsi="WarnockPro-Regular" w:cs="WarnockPro-Regular"/>
          <w:color w:val="0000FF"/>
          <w:sz w:val="20"/>
          <w:szCs w:val="20"/>
        </w:rPr>
        <w:t>7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]. However, the ChAdOX1 nCOV-19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vaccine does not con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tain adjuvant or preservatives.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LETM is diagnosed when there a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re contiguous central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cord lesions with variable</w:t>
      </w:r>
      <w:r w:rsidR="00BE32F5">
        <w:rPr>
          <w:rFonts w:ascii="WarnockPro-Regular" w:hAnsi="WarnockPro-Regular" w:cs="WarnockPro-Regular"/>
          <w:color w:val="000000"/>
          <w:sz w:val="20"/>
          <w:szCs w:val="20"/>
        </w:rPr>
        <w:t xml:space="preserve"> contrast 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enhancement extending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over three or more v</w:t>
      </w:r>
      <w:r w:rsidR="00BE32F5">
        <w:rPr>
          <w:rFonts w:ascii="WarnockPro-Regular" w:hAnsi="WarnockPro-Regular" w:cs="WarnockPro-Regular"/>
          <w:color w:val="000000"/>
          <w:sz w:val="20"/>
          <w:szCs w:val="20"/>
        </w:rPr>
        <w:t xml:space="preserve">ertebral segments on spinal MRI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[</w:t>
      </w:r>
      <w:r>
        <w:rPr>
          <w:rFonts w:ascii="WarnockPro-Regular" w:hAnsi="WarnockPro-Regular" w:cs="WarnockPro-Regular"/>
          <w:color w:val="0000FF"/>
          <w:sz w:val="20"/>
          <w:szCs w:val="20"/>
        </w:rPr>
        <w:t>9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]. Patients typically have a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 dramatic presentation of acute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or subacute </w:t>
      </w:r>
      <w:proofErr w:type="spellStart"/>
      <w:r>
        <w:rPr>
          <w:rFonts w:ascii="WarnockPro-Regular" w:hAnsi="WarnockPro-Regular" w:cs="WarnockPro-Regular"/>
          <w:color w:val="000000"/>
          <w:sz w:val="20"/>
          <w:szCs w:val="20"/>
        </w:rPr>
        <w:t>paraparesis</w:t>
      </w:r>
      <w:proofErr w:type="spellEnd"/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 or </w:t>
      </w:r>
      <w:proofErr w:type="spellStart"/>
      <w:r>
        <w:rPr>
          <w:rFonts w:ascii="WarnockPro-Regular" w:hAnsi="WarnockPro-Regular" w:cs="WarnockPro-Regular"/>
          <w:color w:val="000000"/>
          <w:sz w:val="20"/>
          <w:szCs w:val="20"/>
        </w:rPr>
        <w:t>tetraparesis</w:t>
      </w:r>
      <w:proofErr w:type="spellEnd"/>
      <w:r>
        <w:rPr>
          <w:rFonts w:ascii="WarnockPro-Regular" w:hAnsi="WarnockPro-Regular" w:cs="WarnockPro-Regular"/>
          <w:color w:val="000000"/>
          <w:sz w:val="20"/>
          <w:szCs w:val="20"/>
        </w:rPr>
        <w:t>, with sensory disturba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nces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and alteration of 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gait, bladder, bowel and sexual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dysfunction, dependi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ng on the location of lesion on the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spinal cord [</w:t>
      </w:r>
      <w:r>
        <w:rPr>
          <w:rFonts w:ascii="WarnockPro-Regular" w:hAnsi="WarnockPro-Regular" w:cs="WarnockPro-Regular"/>
          <w:color w:val="0000FF"/>
          <w:sz w:val="20"/>
          <w:szCs w:val="20"/>
        </w:rPr>
        <w:t>9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]. Alth</w:t>
      </w:r>
      <w:r w:rsidR="00BE32F5">
        <w:rPr>
          <w:rFonts w:ascii="WarnockPro-Regular" w:hAnsi="WarnockPro-Regular" w:cs="WarnockPro-Regular"/>
          <w:color w:val="000000"/>
          <w:sz w:val="20"/>
          <w:szCs w:val="20"/>
        </w:rPr>
        <w:t xml:space="preserve">ough our case suggests 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temporal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causality between </w:t>
      </w:r>
      <w:r w:rsidR="00BE32F5">
        <w:rPr>
          <w:rFonts w:ascii="WarnockPro-Regular" w:hAnsi="WarnockPro-Regular" w:cs="WarnockPro-Regular"/>
          <w:color w:val="000000"/>
          <w:sz w:val="20"/>
          <w:szCs w:val="20"/>
        </w:rPr>
        <w:t xml:space="preserve">the ChAdOX1 nCOV-19 vaccine and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LETM, other differentials ha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d to be ruled out in particular </w:t>
      </w:r>
      <w:proofErr w:type="spellStart"/>
      <w:r>
        <w:rPr>
          <w:rFonts w:ascii="WarnockPro-Regular" w:hAnsi="WarnockPro-Regular" w:cs="WarnockPro-Regular"/>
          <w:color w:val="000000"/>
          <w:sz w:val="20"/>
          <w:szCs w:val="20"/>
        </w:rPr>
        <w:t>neuromyelitis</w:t>
      </w:r>
      <w:proofErr w:type="spellEnd"/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 </w:t>
      </w:r>
      <w:proofErr w:type="spellStart"/>
      <w:r>
        <w:rPr>
          <w:rFonts w:ascii="WarnockPro-Regular" w:hAnsi="WarnockPro-Regular" w:cs="WarnockPro-Regular"/>
          <w:color w:val="000000"/>
          <w:sz w:val="20"/>
          <w:szCs w:val="20"/>
        </w:rPr>
        <w:t>op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>tica</w:t>
      </w:r>
      <w:proofErr w:type="spellEnd"/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 spectrum disorder (NMOSD),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multiple sclerosis (MS), and infectious causes [</w:t>
      </w:r>
      <w:r>
        <w:rPr>
          <w:rFonts w:ascii="WarnockPro-Regular" w:hAnsi="WarnockPro-Regular" w:cs="WarnockPro-Regular"/>
          <w:color w:val="0000FF"/>
          <w:sz w:val="20"/>
          <w:szCs w:val="20"/>
        </w:rPr>
        <w:t>9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]. The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absence of both autoant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ibodies (AQ-4 and MOG) combined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with the absence of op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tic neuritis make the diagnosis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of NMOSD unlikely. Furthermore, the absence of 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CSF </w:t>
      </w:r>
      <w:proofErr w:type="spellStart"/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>pleocytosis</w:t>
      </w:r>
      <w:proofErr w:type="spellEnd"/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,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typical lesion of 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MS in the spine (usually patchy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involving one or two vertebra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e with peripheral enhancement),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negative </w:t>
      </w:r>
      <w:proofErr w:type="spellStart"/>
      <w:r>
        <w:rPr>
          <w:rFonts w:ascii="WarnockPro-Regular" w:hAnsi="WarnockPro-Regular" w:cs="WarnockPro-Regular"/>
          <w:color w:val="000000"/>
          <w:sz w:val="20"/>
          <w:szCs w:val="20"/>
        </w:rPr>
        <w:t>oligocl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>onal</w:t>
      </w:r>
      <w:proofErr w:type="spellEnd"/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 bands and normal MRI brain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are not consistent with MS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. However, this patient need to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be followed up for the 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reoccurrence of symptoms in the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future as this could be the fi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rst isolated lesion (clinically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isolated syndrome) in both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 relapsing-remitting courses of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MS. Lastly, sterile CSF with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 relatively normal inflammatory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markers were not suggestive of infectious m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yelitis.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Based on the currently avai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lable evidence and the temporal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relationship, the occurrenc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e of LETM following vaccination,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in this case, was probable bas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ed on the adverse drug reaction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probability scale (point </w:t>
      </w:r>
      <w:r>
        <w:rPr>
          <w:rFonts w:ascii="MTSY" w:hAnsi="MTSY" w:cs="MTSY"/>
          <w:color w:val="000000"/>
          <w:sz w:val="20"/>
          <w:szCs w:val="20"/>
        </w:rPr>
        <w:t xml:space="preserve">+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6) [</w:t>
      </w:r>
      <w:r>
        <w:rPr>
          <w:rFonts w:ascii="WarnockPro-Regular" w:hAnsi="WarnockPro-Regular" w:cs="WarnockPro-Regular"/>
          <w:color w:val="0000FF"/>
          <w:sz w:val="20"/>
          <w:szCs w:val="20"/>
        </w:rPr>
        <w:t>10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].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A recent review showed that the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 prevalence of myelitis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in COVID-19 patients</w:t>
      </w:r>
      <w:r w:rsidR="00BE32F5">
        <w:rPr>
          <w:rFonts w:ascii="WarnockPro-Regular" w:hAnsi="WarnockPro-Regular" w:cs="WarnockPro-Regular"/>
          <w:color w:val="000000"/>
          <w:sz w:val="20"/>
          <w:szCs w:val="20"/>
        </w:rPr>
        <w:t xml:space="preserve"> is far greater, accounting for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approximately 1.2% of all COVID-19 neurological related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complications where LETM accounted for 70% of the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reported TM in the series [</w:t>
      </w:r>
      <w:r>
        <w:rPr>
          <w:rFonts w:ascii="WarnockPro-Regular" w:hAnsi="WarnockPro-Regular" w:cs="WarnockPro-Regular"/>
          <w:color w:val="0000FF"/>
          <w:sz w:val="20"/>
          <w:szCs w:val="20"/>
        </w:rPr>
        <w:t>11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]. Although unfortunate,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patients who have de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veloped LETM following </w:t>
      </w:r>
      <w:proofErr w:type="gramStart"/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vaccines 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have</w:t>
      </w:r>
      <w:proofErr w:type="gramEnd"/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 responded relativel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y well to treatment, suggesting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what is hopefully a temporary immunogenic reaction.</w:t>
      </w:r>
    </w:p>
    <w:p w:rsidR="009637B3" w:rsidRDefault="009637B3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hAnsi="MyriadPro-Bold" w:cs="MyriadPro-Bold"/>
          <w:b/>
          <w:bCs/>
          <w:color w:val="000000"/>
          <w:sz w:val="21"/>
          <w:szCs w:val="21"/>
        </w:rPr>
      </w:pPr>
    </w:p>
    <w:p w:rsidR="009637B3" w:rsidRDefault="009637B3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hAnsi="MyriadPro-Bold" w:cs="MyriadPro-Bold"/>
          <w:b/>
          <w:bCs/>
          <w:color w:val="000000"/>
          <w:sz w:val="21"/>
          <w:szCs w:val="21"/>
        </w:rPr>
      </w:pP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hAnsi="MyriadPro-Bold" w:cs="MyriadPro-Bold"/>
          <w:b/>
          <w:bCs/>
          <w:color w:val="000000"/>
          <w:sz w:val="21"/>
          <w:szCs w:val="21"/>
        </w:rPr>
      </w:pPr>
      <w:r>
        <w:rPr>
          <w:rFonts w:ascii="MyriadPro-Bold" w:hAnsi="MyriadPro-Bold" w:cs="MyriadPro-Bold"/>
          <w:b/>
          <w:bCs/>
          <w:color w:val="000000"/>
          <w:sz w:val="21"/>
          <w:szCs w:val="21"/>
        </w:rPr>
        <w:lastRenderedPageBreak/>
        <w:t>Conclusion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WarnockPro-Regular" w:hAnsi="WarnockPro-Regular" w:cs="WarnockPro-Regular"/>
          <w:color w:val="000000"/>
          <w:sz w:val="20"/>
          <w:szCs w:val="20"/>
        </w:rPr>
      </w:pPr>
      <w:r>
        <w:rPr>
          <w:rFonts w:ascii="WarnockPro-Regular" w:hAnsi="WarnockPro-Regular" w:cs="WarnockPro-Regular"/>
          <w:color w:val="000000"/>
          <w:sz w:val="20"/>
          <w:szCs w:val="20"/>
        </w:rPr>
        <w:t>Although TM following va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ccination is rare, the temporal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causality of LET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M, in this case, is undeniable. </w:t>
      </w:r>
      <w:r w:rsidR="00BE32F5">
        <w:rPr>
          <w:rFonts w:ascii="WarnockPro-Regular" w:hAnsi="WarnockPro-Regular" w:cs="WarnockPro-Regular"/>
          <w:color w:val="000000"/>
          <w:sz w:val="20"/>
          <w:szCs w:val="20"/>
        </w:rPr>
        <w:t xml:space="preserve">However,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 xml:space="preserve">this should </w:t>
      </w:r>
      <w:r w:rsidR="009637B3">
        <w:rPr>
          <w:rFonts w:ascii="WarnockPro-Regular" w:hAnsi="WarnockPro-Regular" w:cs="WarnockPro-Regular"/>
          <w:color w:val="000000"/>
          <w:sz w:val="20"/>
          <w:szCs w:val="20"/>
        </w:rPr>
        <w:t xml:space="preserve">not deter us from continuing to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recommend COVID-1</w:t>
      </w:r>
      <w:r w:rsidR="00BE32F5">
        <w:rPr>
          <w:rFonts w:ascii="WarnockPro-Regular" w:hAnsi="WarnockPro-Regular" w:cs="WarnockPro-Regular"/>
          <w:color w:val="000000"/>
          <w:sz w:val="20"/>
          <w:szCs w:val="20"/>
        </w:rPr>
        <w:t xml:space="preserve">9 vaccines, as the incidence of </w:t>
      </w:r>
      <w:r>
        <w:rPr>
          <w:rFonts w:ascii="WarnockPro-Regular" w:hAnsi="WarnockPro-Regular" w:cs="WarnockPro-Regular"/>
          <w:color w:val="000000"/>
          <w:sz w:val="20"/>
          <w:szCs w:val="20"/>
        </w:rPr>
        <w:t>myelitis in COVID-19 is much higher.</w:t>
      </w:r>
    </w:p>
    <w:p w:rsidR="009637B3" w:rsidRDefault="009637B3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WarnockPro-Regular" w:hAnsi="WarnockPro-Regular" w:cs="WarnockPro-Regular"/>
          <w:color w:val="000000"/>
          <w:sz w:val="20"/>
          <w:szCs w:val="20"/>
        </w:rPr>
      </w:pPr>
    </w:p>
    <w:p w:rsidR="008E4B50" w:rsidRPr="00BE32F5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Semibold" w:hAnsi="MyriadPro-Semibold" w:cs="MyriadPro-Semibold"/>
          <w:b/>
          <w:bCs/>
          <w:color w:val="000000"/>
          <w:sz w:val="15"/>
          <w:szCs w:val="15"/>
        </w:rPr>
      </w:pPr>
      <w:r w:rsidRPr="00BE32F5">
        <w:rPr>
          <w:rFonts w:ascii="MyriadPro-Semibold" w:hAnsi="MyriadPro-Semibold" w:cs="MyriadPro-Semibold"/>
          <w:b/>
          <w:bCs/>
          <w:color w:val="000000"/>
          <w:sz w:val="15"/>
          <w:szCs w:val="15"/>
        </w:rPr>
        <w:t>Abbreviations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 xml:space="preserve">AEFI: Adverse Event Following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Immuni</w:t>
      </w:r>
      <w:r w:rsidR="00BE32F5">
        <w:rPr>
          <w:rFonts w:ascii="MyriadPro-Light" w:hAnsi="MyriadPro-Light" w:cs="MyriadPro-Light"/>
          <w:color w:val="000000"/>
          <w:sz w:val="15"/>
          <w:szCs w:val="15"/>
        </w:rPr>
        <w:t>sation</w:t>
      </w:r>
      <w:proofErr w:type="spellEnd"/>
      <w:r w:rsidR="00BE32F5">
        <w:rPr>
          <w:rFonts w:ascii="MyriadPro-Light" w:hAnsi="MyriadPro-Light" w:cs="MyriadPro-Light"/>
          <w:color w:val="000000"/>
          <w:sz w:val="15"/>
          <w:szCs w:val="15"/>
        </w:rPr>
        <w:t xml:space="preserve">; AQ-4: Anti-aquaporin 4; </w:t>
      </w:r>
      <w:r>
        <w:rPr>
          <w:rFonts w:ascii="MyriadPro-Light" w:hAnsi="MyriadPro-Light" w:cs="MyriadPro-Light"/>
          <w:color w:val="000000"/>
          <w:sz w:val="15"/>
          <w:szCs w:val="15"/>
        </w:rPr>
        <w:t>ChAdOx1 nCoV-19 vaccine: Chimpanzee ad</w:t>
      </w:r>
      <w:r w:rsidR="00BE32F5">
        <w:rPr>
          <w:rFonts w:ascii="MyriadPro-Light" w:hAnsi="MyriadPro-Light" w:cs="MyriadPro-Light"/>
          <w:color w:val="000000"/>
          <w:sz w:val="15"/>
          <w:szCs w:val="15"/>
        </w:rPr>
        <w:t xml:space="preserve">enovirus-vectored vaccine; CDC: </w:t>
      </w:r>
      <w:r>
        <w:rPr>
          <w:rFonts w:ascii="MyriadPro-Light" w:hAnsi="MyriadPro-Light" w:cs="MyriadPro-Light"/>
          <w:color w:val="000000"/>
          <w:sz w:val="15"/>
          <w:szCs w:val="15"/>
        </w:rPr>
        <w:t xml:space="preserve">Centers for Disease Control; CSF: Cerebrospinal </w:t>
      </w:r>
      <w:r w:rsidR="00BE32F5">
        <w:rPr>
          <w:rFonts w:ascii="MyriadPro-Light" w:hAnsi="MyriadPro-Light" w:cs="MyriadPro-Light"/>
          <w:color w:val="000000"/>
          <w:sz w:val="15"/>
          <w:szCs w:val="15"/>
        </w:rPr>
        <w:t xml:space="preserve">Fluid; TM: Transverse Myelitis; </w:t>
      </w:r>
      <w:r>
        <w:rPr>
          <w:rFonts w:ascii="MyriadPro-Light" w:hAnsi="MyriadPro-Light" w:cs="MyriadPro-Light"/>
          <w:color w:val="000000"/>
          <w:sz w:val="15"/>
          <w:szCs w:val="15"/>
        </w:rPr>
        <w:t>LETM: Longitudinal Extensive Transverse My</w:t>
      </w:r>
      <w:r w:rsidR="00BE32F5">
        <w:rPr>
          <w:rFonts w:ascii="MyriadPro-Light" w:hAnsi="MyriadPro-Light" w:cs="MyriadPro-Light"/>
          <w:color w:val="000000"/>
          <w:sz w:val="15"/>
          <w:szCs w:val="15"/>
        </w:rPr>
        <w:t xml:space="preserve">elitis; MRI: Magnetic Resonance </w:t>
      </w:r>
      <w:r>
        <w:rPr>
          <w:rFonts w:ascii="MyriadPro-Light" w:hAnsi="MyriadPro-Light" w:cs="MyriadPro-Light"/>
          <w:color w:val="000000"/>
          <w:sz w:val="15"/>
          <w:szCs w:val="15"/>
        </w:rPr>
        <w:t xml:space="preserve">Imaging; MOG: Anti-myelin-oligodendrocyte; MS: Multiple sclerosis; </w:t>
      </w:r>
      <w:r w:rsidR="00BE32F5">
        <w:rPr>
          <w:rFonts w:ascii="MyriadPro-Light" w:hAnsi="MyriadPro-Light" w:cs="MyriadPro-Light"/>
          <w:color w:val="000000"/>
          <w:sz w:val="15"/>
          <w:szCs w:val="15"/>
        </w:rPr>
        <w:t xml:space="preserve">NMOSD: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Neuromyelitis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Optica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Spectrum Disorder; SSEP: </w:t>
      </w:r>
      <w:r w:rsidR="00BE32F5">
        <w:rPr>
          <w:rFonts w:ascii="MyriadPro-Light" w:hAnsi="MyriadPro-Light" w:cs="MyriadPro-Light"/>
          <w:color w:val="000000"/>
          <w:sz w:val="15"/>
          <w:szCs w:val="15"/>
        </w:rPr>
        <w:t xml:space="preserve">Somatosensory Evoked Potential; </w:t>
      </w:r>
      <w:r>
        <w:rPr>
          <w:rFonts w:ascii="MyriadPro-Light" w:hAnsi="MyriadPro-Light" w:cs="MyriadPro-Light"/>
          <w:color w:val="000000"/>
          <w:sz w:val="15"/>
          <w:szCs w:val="15"/>
        </w:rPr>
        <w:t>VAERS: Vaccine Adverse Event Reporting System.</w:t>
      </w:r>
    </w:p>
    <w:p w:rsidR="009637B3" w:rsidRDefault="009637B3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</w:p>
    <w:p w:rsidR="008E4B50" w:rsidRPr="00BE32F5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Semibold" w:hAnsi="MyriadPro-Semibold" w:cs="MyriadPro-Semibold"/>
          <w:b/>
          <w:bCs/>
          <w:color w:val="000000"/>
          <w:sz w:val="15"/>
          <w:szCs w:val="15"/>
        </w:rPr>
      </w:pPr>
      <w:r w:rsidRPr="00BE32F5">
        <w:rPr>
          <w:rFonts w:ascii="MyriadPro-Semibold" w:hAnsi="MyriadPro-Semibold" w:cs="MyriadPro-Semibold"/>
          <w:b/>
          <w:bCs/>
          <w:color w:val="000000"/>
          <w:sz w:val="15"/>
          <w:szCs w:val="15"/>
        </w:rPr>
        <w:t>Acknowledgements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>The authors would like to thank the patient for</w:t>
      </w:r>
      <w:r w:rsidR="00BE32F5">
        <w:rPr>
          <w:rFonts w:ascii="MyriadPro-Light" w:hAnsi="MyriadPro-Light" w:cs="MyriadPro-Light"/>
          <w:color w:val="000000"/>
          <w:sz w:val="15"/>
          <w:szCs w:val="15"/>
        </w:rPr>
        <w:t xml:space="preserve"> her consent in publishing this </w:t>
      </w:r>
      <w:r>
        <w:rPr>
          <w:rFonts w:ascii="MyriadPro-Light" w:hAnsi="MyriadPro-Light" w:cs="MyriadPro-Light"/>
          <w:color w:val="000000"/>
          <w:sz w:val="15"/>
          <w:szCs w:val="15"/>
        </w:rPr>
        <w:t>case report.</w:t>
      </w:r>
    </w:p>
    <w:p w:rsidR="009637B3" w:rsidRDefault="009637B3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</w:p>
    <w:p w:rsidR="008E4B50" w:rsidRPr="008C54A3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Semibold" w:hAnsi="MyriadPro-Semibold" w:cs="MyriadPro-Semibold"/>
          <w:b/>
          <w:bCs/>
          <w:color w:val="000000"/>
          <w:sz w:val="15"/>
          <w:szCs w:val="15"/>
        </w:rPr>
      </w:pPr>
      <w:r w:rsidRPr="008C54A3">
        <w:rPr>
          <w:rFonts w:ascii="MyriadPro-Semibold" w:hAnsi="MyriadPro-Semibold" w:cs="MyriadPro-Semibold"/>
          <w:b/>
          <w:bCs/>
          <w:color w:val="000000"/>
          <w:sz w:val="15"/>
          <w:szCs w:val="15"/>
        </w:rPr>
        <w:t>References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FF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 xml:space="preserve">1. More Than 3.6 Billion Shots Given: Covid-19 Vaccine Tracker. </w:t>
      </w:r>
      <w:r>
        <w:rPr>
          <w:rFonts w:ascii="MyriadPro-Light" w:hAnsi="MyriadPro-Light" w:cs="MyriadPro-Light"/>
          <w:color w:val="0000FF"/>
          <w:sz w:val="15"/>
          <w:szCs w:val="15"/>
        </w:rPr>
        <w:t>https:// www.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FF"/>
          <w:sz w:val="15"/>
          <w:szCs w:val="15"/>
        </w:rPr>
        <w:t xml:space="preserve">bloom berg. com/ graph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ics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 xml:space="preserve">/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covid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 xml:space="preserve">-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vacci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 xml:space="preserve"> ne- track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er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 xml:space="preserve">- global-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distr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 xml:space="preserve">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ibuti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 xml:space="preserve"> on/</w:t>
      </w:r>
      <w:r>
        <w:rPr>
          <w:rFonts w:ascii="MyriadPro-Light" w:hAnsi="MyriadPro-Light" w:cs="MyriadPro-Light"/>
          <w:color w:val="000000"/>
          <w:sz w:val="15"/>
          <w:szCs w:val="15"/>
        </w:rPr>
        <w:t>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>Accessed 16 July 2021.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 xml:space="preserve">2. Knoll MD,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Wonodi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C. Oxford–AstraZeneca COVID-19 vaccine efficacy.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 xml:space="preserve">Lancet. </w:t>
      </w:r>
      <w:proofErr w:type="gramStart"/>
      <w:r>
        <w:rPr>
          <w:rFonts w:ascii="MyriadPro-Light" w:hAnsi="MyriadPro-Light" w:cs="MyriadPro-Light"/>
          <w:color w:val="000000"/>
          <w:sz w:val="15"/>
          <w:szCs w:val="15"/>
        </w:rPr>
        <w:t>2021;397:72</w:t>
      </w:r>
      <w:proofErr w:type="gramEnd"/>
      <w:r>
        <w:rPr>
          <w:rFonts w:ascii="MyriadPro-Light" w:hAnsi="MyriadPro-Light" w:cs="MyriadPro-Light"/>
          <w:color w:val="000000"/>
          <w:sz w:val="15"/>
          <w:szCs w:val="15"/>
        </w:rPr>
        <w:t xml:space="preserve">–4. </w:t>
      </w:r>
      <w:r>
        <w:rPr>
          <w:rFonts w:ascii="MyriadPro-Light" w:hAnsi="MyriadPro-Light" w:cs="MyriadPro-Light"/>
          <w:color w:val="0000FF"/>
          <w:sz w:val="15"/>
          <w:szCs w:val="15"/>
        </w:rPr>
        <w:t xml:space="preserve">https://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doi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>. org/ 10. 1016/ S0140- 6736(20) 32623-4</w:t>
      </w:r>
      <w:r>
        <w:rPr>
          <w:rFonts w:ascii="MyriadPro-Light" w:hAnsi="MyriadPro-Light" w:cs="MyriadPro-Light"/>
          <w:color w:val="000000"/>
          <w:sz w:val="15"/>
          <w:szCs w:val="15"/>
        </w:rPr>
        <w:t>.</w:t>
      </w:r>
      <w:bookmarkStart w:id="0" w:name="_GoBack"/>
      <w:bookmarkEnd w:id="0"/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 xml:space="preserve">3.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Voysey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M, Clemens SAC,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Madhi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SA,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Weckx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LY,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Folegatti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PM,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Aley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PK, et al.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>Safety and efficacy of the ChAdOx1 nCoV-19 vaccine (AZD1222) against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 xml:space="preserve">SARS-CoV-2: an interim analysis of four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randomised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controlled trials in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FF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 xml:space="preserve">Brazil, South Africa, and the UK. Lancet. </w:t>
      </w:r>
      <w:proofErr w:type="gramStart"/>
      <w:r>
        <w:rPr>
          <w:rFonts w:ascii="MyriadPro-Light" w:hAnsi="MyriadPro-Light" w:cs="MyriadPro-Light"/>
          <w:color w:val="000000"/>
          <w:sz w:val="15"/>
          <w:szCs w:val="15"/>
        </w:rPr>
        <w:t>2021;397:99</w:t>
      </w:r>
      <w:proofErr w:type="gramEnd"/>
      <w:r>
        <w:rPr>
          <w:rFonts w:ascii="MyriadPro-Light" w:hAnsi="MyriadPro-Light" w:cs="MyriadPro-Light"/>
          <w:color w:val="000000"/>
          <w:sz w:val="15"/>
          <w:szCs w:val="15"/>
        </w:rPr>
        <w:t xml:space="preserve">–111. </w:t>
      </w:r>
      <w:r>
        <w:rPr>
          <w:rFonts w:ascii="MyriadPro-Light" w:hAnsi="MyriadPro-Light" w:cs="MyriadPro-Light"/>
          <w:color w:val="0000FF"/>
          <w:sz w:val="15"/>
          <w:szCs w:val="15"/>
        </w:rPr>
        <w:t xml:space="preserve">https://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doi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>. org/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FF"/>
          <w:sz w:val="15"/>
          <w:szCs w:val="15"/>
        </w:rPr>
        <w:t>10. 1016/ S0140- 6736(20) 32661-1</w:t>
      </w:r>
      <w:r>
        <w:rPr>
          <w:rFonts w:ascii="MyriadPro-Light" w:hAnsi="MyriadPro-Light" w:cs="MyriadPro-Light"/>
          <w:color w:val="000000"/>
          <w:sz w:val="15"/>
          <w:szCs w:val="15"/>
        </w:rPr>
        <w:t>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 xml:space="preserve">4.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Borchers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</w:t>
      </w:r>
      <w:proofErr w:type="gramStart"/>
      <w:r>
        <w:rPr>
          <w:rFonts w:ascii="MyriadPro-Light" w:hAnsi="MyriadPro-Light" w:cs="MyriadPro-Light"/>
          <w:color w:val="000000"/>
          <w:sz w:val="15"/>
          <w:szCs w:val="15"/>
        </w:rPr>
        <w:t>AT</w:t>
      </w:r>
      <w:proofErr w:type="gramEnd"/>
      <w:r>
        <w:rPr>
          <w:rFonts w:ascii="MyriadPro-Light" w:hAnsi="MyriadPro-Light" w:cs="MyriadPro-Light"/>
          <w:color w:val="000000"/>
          <w:sz w:val="15"/>
          <w:szCs w:val="15"/>
        </w:rPr>
        <w:t xml:space="preserve">, Gershwin ME. Transverse myelitis.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Autoimmun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Rev.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proofErr w:type="gramStart"/>
      <w:r>
        <w:rPr>
          <w:rFonts w:ascii="MyriadPro-Light" w:hAnsi="MyriadPro-Light" w:cs="MyriadPro-Light"/>
          <w:color w:val="000000"/>
          <w:sz w:val="15"/>
          <w:szCs w:val="15"/>
        </w:rPr>
        <w:t>2012;11:231</w:t>
      </w:r>
      <w:proofErr w:type="gramEnd"/>
      <w:r>
        <w:rPr>
          <w:rFonts w:ascii="MyriadPro-Light" w:hAnsi="MyriadPro-Light" w:cs="MyriadPro-Light"/>
          <w:color w:val="000000"/>
          <w:sz w:val="15"/>
          <w:szCs w:val="15"/>
        </w:rPr>
        <w:t xml:space="preserve">–48. </w:t>
      </w:r>
      <w:r>
        <w:rPr>
          <w:rFonts w:ascii="MyriadPro-Light" w:hAnsi="MyriadPro-Light" w:cs="MyriadPro-Light"/>
          <w:color w:val="0000FF"/>
          <w:sz w:val="15"/>
          <w:szCs w:val="15"/>
        </w:rPr>
        <w:t xml:space="preserve">https://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doi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 xml:space="preserve">. org/ 10. 1016/j.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autrev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>. 2011. 05. 018</w:t>
      </w:r>
      <w:r>
        <w:rPr>
          <w:rFonts w:ascii="MyriadPro-Light" w:hAnsi="MyriadPro-Light" w:cs="MyriadPro-Light"/>
          <w:color w:val="000000"/>
          <w:sz w:val="15"/>
          <w:szCs w:val="15"/>
        </w:rPr>
        <w:t>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 xml:space="preserve">5. Goss AL,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Samudralwar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RD, Das RR,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Nath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A. ANA investigates: neurological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FF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 xml:space="preserve">complications of COVID-19 vaccines. Ann Neurol. </w:t>
      </w:r>
      <w:proofErr w:type="gramStart"/>
      <w:r>
        <w:rPr>
          <w:rFonts w:ascii="MyriadPro-Light" w:hAnsi="MyriadPro-Light" w:cs="MyriadPro-Light"/>
          <w:color w:val="000000"/>
          <w:sz w:val="15"/>
          <w:szCs w:val="15"/>
        </w:rPr>
        <w:t>2021;89:856</w:t>
      </w:r>
      <w:proofErr w:type="gramEnd"/>
      <w:r>
        <w:rPr>
          <w:rFonts w:ascii="MyriadPro-Light" w:hAnsi="MyriadPro-Light" w:cs="MyriadPro-Light"/>
          <w:color w:val="000000"/>
          <w:sz w:val="15"/>
          <w:szCs w:val="15"/>
        </w:rPr>
        <w:t xml:space="preserve">–7. </w:t>
      </w:r>
      <w:r>
        <w:rPr>
          <w:rFonts w:ascii="MyriadPro-Light" w:hAnsi="MyriadPro-Light" w:cs="MyriadPro-Light"/>
          <w:color w:val="0000FF"/>
          <w:sz w:val="15"/>
          <w:szCs w:val="15"/>
        </w:rPr>
        <w:t>https://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doi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 xml:space="preserve">. org/ 10. 1002/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ana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>. 26065</w:t>
      </w:r>
      <w:r>
        <w:rPr>
          <w:rFonts w:ascii="MyriadPro-Light" w:hAnsi="MyriadPro-Light" w:cs="MyriadPro-Light"/>
          <w:color w:val="000000"/>
          <w:sz w:val="15"/>
          <w:szCs w:val="15"/>
        </w:rPr>
        <w:t>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 xml:space="preserve">6. Singh Malhotra H, Gupta P,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Prabhu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V, Kumar Garg R,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Dandu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H, Agarwal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 xml:space="preserve">V. COVID-19 vaccination-associated myelitis. QJM </w:t>
      </w:r>
      <w:proofErr w:type="gramStart"/>
      <w:r>
        <w:rPr>
          <w:rFonts w:ascii="MyriadPro-Light" w:hAnsi="MyriadPro-Light" w:cs="MyriadPro-Light"/>
          <w:color w:val="000000"/>
          <w:sz w:val="15"/>
          <w:szCs w:val="15"/>
        </w:rPr>
        <w:t>An</w:t>
      </w:r>
      <w:proofErr w:type="gram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Int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J Med.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proofErr w:type="gramStart"/>
      <w:r>
        <w:rPr>
          <w:rFonts w:ascii="MyriadPro-Light" w:hAnsi="MyriadPro-Light" w:cs="MyriadPro-Light"/>
          <w:color w:val="000000"/>
          <w:sz w:val="15"/>
          <w:szCs w:val="15"/>
        </w:rPr>
        <w:t>2021;2021:1</w:t>
      </w:r>
      <w:proofErr w:type="gramEnd"/>
      <w:r>
        <w:rPr>
          <w:rFonts w:ascii="MyriadPro-Light" w:hAnsi="MyriadPro-Light" w:cs="MyriadPro-Light"/>
          <w:color w:val="000000"/>
          <w:sz w:val="15"/>
          <w:szCs w:val="15"/>
        </w:rPr>
        <w:t xml:space="preserve">–3. </w:t>
      </w:r>
      <w:r>
        <w:rPr>
          <w:rFonts w:ascii="MyriadPro-Light" w:hAnsi="MyriadPro-Light" w:cs="MyriadPro-Light"/>
          <w:color w:val="0000FF"/>
          <w:sz w:val="15"/>
          <w:szCs w:val="15"/>
        </w:rPr>
        <w:t xml:space="preserve">https://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doi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 xml:space="preserve">. org/ 10. 1093/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qjmed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>/ hcab0 69</w:t>
      </w:r>
      <w:r>
        <w:rPr>
          <w:rFonts w:ascii="MyriadPro-Light" w:hAnsi="MyriadPro-Light" w:cs="MyriadPro-Light"/>
          <w:color w:val="000000"/>
          <w:sz w:val="15"/>
          <w:szCs w:val="15"/>
        </w:rPr>
        <w:t>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 xml:space="preserve">7.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Agmon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-Levin N,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Kivity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S,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Szyper-Kravitz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M,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Shoenfeld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Y. Transverse myelitis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FF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 xml:space="preserve">and vaccines: a multi-analysis. Lupus. </w:t>
      </w:r>
      <w:proofErr w:type="gramStart"/>
      <w:r>
        <w:rPr>
          <w:rFonts w:ascii="MyriadPro-Light" w:hAnsi="MyriadPro-Light" w:cs="MyriadPro-Light"/>
          <w:color w:val="000000"/>
          <w:sz w:val="15"/>
          <w:szCs w:val="15"/>
        </w:rPr>
        <w:t>2009;18:1198</w:t>
      </w:r>
      <w:proofErr w:type="gramEnd"/>
      <w:r>
        <w:rPr>
          <w:rFonts w:ascii="MyriadPro-Light" w:hAnsi="MyriadPro-Light" w:cs="MyriadPro-Light"/>
          <w:color w:val="000000"/>
          <w:sz w:val="15"/>
          <w:szCs w:val="15"/>
        </w:rPr>
        <w:t xml:space="preserve">–204. </w:t>
      </w:r>
      <w:r>
        <w:rPr>
          <w:rFonts w:ascii="MyriadPro-Light" w:hAnsi="MyriadPro-Light" w:cs="MyriadPro-Light"/>
          <w:color w:val="0000FF"/>
          <w:sz w:val="15"/>
          <w:szCs w:val="15"/>
        </w:rPr>
        <w:t xml:space="preserve">https://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doi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>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FF"/>
          <w:sz w:val="15"/>
          <w:szCs w:val="15"/>
        </w:rPr>
        <w:t>org/ 10. 1177/ 09612 03309 345730</w:t>
      </w:r>
      <w:r>
        <w:rPr>
          <w:rFonts w:ascii="MyriadPro-Light" w:hAnsi="MyriadPro-Light" w:cs="MyriadPro-Light"/>
          <w:color w:val="000000"/>
          <w:sz w:val="15"/>
          <w:szCs w:val="15"/>
        </w:rPr>
        <w:t>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 xml:space="preserve">8.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Pagenkopf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C,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Südmeyer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M. A case of longitudinally extensive transverse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 xml:space="preserve">myelitis following vaccination against Covid-19. J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Neuroimmunol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>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proofErr w:type="gramStart"/>
      <w:r>
        <w:rPr>
          <w:rFonts w:ascii="MyriadPro-Light" w:hAnsi="MyriadPro-Light" w:cs="MyriadPro-Light"/>
          <w:color w:val="000000"/>
          <w:sz w:val="15"/>
          <w:szCs w:val="15"/>
        </w:rPr>
        <w:t>2021;358:577606</w:t>
      </w:r>
      <w:proofErr w:type="gramEnd"/>
      <w:r>
        <w:rPr>
          <w:rFonts w:ascii="MyriadPro-Light" w:hAnsi="MyriadPro-Light" w:cs="MyriadPro-Light"/>
          <w:color w:val="000000"/>
          <w:sz w:val="15"/>
          <w:szCs w:val="15"/>
        </w:rPr>
        <w:t xml:space="preserve">. </w:t>
      </w:r>
      <w:r>
        <w:rPr>
          <w:rFonts w:ascii="MyriadPro-Light" w:hAnsi="MyriadPro-Light" w:cs="MyriadPro-Light"/>
          <w:color w:val="0000FF"/>
          <w:sz w:val="15"/>
          <w:szCs w:val="15"/>
        </w:rPr>
        <w:t xml:space="preserve">https://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doi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 xml:space="preserve">. org/ 10. 1016/j.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jneur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 xml:space="preserve">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oim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>. 2021. 577606</w:t>
      </w:r>
      <w:r>
        <w:rPr>
          <w:rFonts w:ascii="MyriadPro-Light" w:hAnsi="MyriadPro-Light" w:cs="MyriadPro-Light"/>
          <w:color w:val="000000"/>
          <w:sz w:val="15"/>
          <w:szCs w:val="15"/>
        </w:rPr>
        <w:t>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 xml:space="preserve">9.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Trebst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C,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Raab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P, Voss EV,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Rommer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P, Abu-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Mugheisib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M,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Zettl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UK, et al.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 xml:space="preserve">Longitudinal extensive transverse myelitis-it’s not all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neuromyelitis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optica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>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 xml:space="preserve">Nat Rev Neurol. </w:t>
      </w:r>
      <w:proofErr w:type="gramStart"/>
      <w:r>
        <w:rPr>
          <w:rFonts w:ascii="MyriadPro-Light" w:hAnsi="MyriadPro-Light" w:cs="MyriadPro-Light"/>
          <w:color w:val="000000"/>
          <w:sz w:val="15"/>
          <w:szCs w:val="15"/>
        </w:rPr>
        <w:t>2011;7:688</w:t>
      </w:r>
      <w:proofErr w:type="gramEnd"/>
      <w:r>
        <w:rPr>
          <w:rFonts w:ascii="MyriadPro-Light" w:hAnsi="MyriadPro-Light" w:cs="MyriadPro-Light"/>
          <w:color w:val="000000"/>
          <w:sz w:val="15"/>
          <w:szCs w:val="15"/>
        </w:rPr>
        <w:t xml:space="preserve">–98. </w:t>
      </w:r>
      <w:r>
        <w:rPr>
          <w:rFonts w:ascii="MyriadPro-Light" w:hAnsi="MyriadPro-Light" w:cs="MyriadPro-Light"/>
          <w:color w:val="0000FF"/>
          <w:sz w:val="15"/>
          <w:szCs w:val="15"/>
        </w:rPr>
        <w:t xml:space="preserve">https://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doi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 xml:space="preserve">. org/ 10. 1038/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nrneu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 xml:space="preserve">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rol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>. 2011. 176</w:t>
      </w:r>
      <w:r>
        <w:rPr>
          <w:rFonts w:ascii="MyriadPro-Light" w:hAnsi="MyriadPro-Light" w:cs="MyriadPro-Light"/>
          <w:color w:val="000000"/>
          <w:sz w:val="15"/>
          <w:szCs w:val="15"/>
        </w:rPr>
        <w:t>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>10. Naranjo CA, Busto U, Sellers EM, Sandor P, Ruiz I, Roberts EA, et al. A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 xml:space="preserve">method for estimating the probability of adverse drug reactions.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Clin</w:t>
      </w:r>
      <w:proofErr w:type="spellEnd"/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Pharmacol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Ther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. </w:t>
      </w:r>
      <w:proofErr w:type="gramStart"/>
      <w:r>
        <w:rPr>
          <w:rFonts w:ascii="MyriadPro-Light" w:hAnsi="MyriadPro-Light" w:cs="MyriadPro-Light"/>
          <w:color w:val="000000"/>
          <w:sz w:val="15"/>
          <w:szCs w:val="15"/>
        </w:rPr>
        <w:t>1981;30:239</w:t>
      </w:r>
      <w:proofErr w:type="gramEnd"/>
      <w:r>
        <w:rPr>
          <w:rFonts w:ascii="MyriadPro-Light" w:hAnsi="MyriadPro-Light" w:cs="MyriadPro-Light"/>
          <w:color w:val="000000"/>
          <w:sz w:val="15"/>
          <w:szCs w:val="15"/>
        </w:rPr>
        <w:t xml:space="preserve">–45. </w:t>
      </w:r>
      <w:r>
        <w:rPr>
          <w:rFonts w:ascii="MyriadPro-Light" w:hAnsi="MyriadPro-Light" w:cs="MyriadPro-Light"/>
          <w:color w:val="0000FF"/>
          <w:sz w:val="15"/>
          <w:szCs w:val="15"/>
        </w:rPr>
        <w:t xml:space="preserve">https://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doi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 xml:space="preserve">. org/ 10. 1038/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clpt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>. 1981. 154</w:t>
      </w:r>
      <w:r>
        <w:rPr>
          <w:rFonts w:ascii="MyriadPro-Light" w:hAnsi="MyriadPro-Light" w:cs="MyriadPro-Light"/>
          <w:color w:val="000000"/>
          <w:sz w:val="15"/>
          <w:szCs w:val="15"/>
        </w:rPr>
        <w:t>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 xml:space="preserve">11.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Román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GC,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Gracia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F, Torres A, Palacios A,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Gracia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K, Harris D. Acute Transverse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>Myelitis (ATM</w:t>
      </w:r>
      <w:proofErr w:type="gramStart"/>
      <w:r>
        <w:rPr>
          <w:rFonts w:ascii="MyriadPro-Light" w:hAnsi="MyriadPro-Light" w:cs="MyriadPro-Light"/>
          <w:color w:val="000000"/>
          <w:sz w:val="15"/>
          <w:szCs w:val="15"/>
        </w:rPr>
        <w:t>):Clinical</w:t>
      </w:r>
      <w:proofErr w:type="gramEnd"/>
      <w:r>
        <w:rPr>
          <w:rFonts w:ascii="MyriadPro-Light" w:hAnsi="MyriadPro-Light" w:cs="MyriadPro-Light"/>
          <w:color w:val="000000"/>
          <w:sz w:val="15"/>
          <w:szCs w:val="15"/>
        </w:rPr>
        <w:t xml:space="preserve"> Review of 43 Patients With COVID-19-Associated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>ATM and 3 Post-Vaccination ATM Serious Adverse Events With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 xml:space="preserve">the ChAdOx1 nCoV-19 Vaccine (AZD1222). Front </w:t>
      </w:r>
      <w:proofErr w:type="spellStart"/>
      <w:r>
        <w:rPr>
          <w:rFonts w:ascii="MyriadPro-Light" w:hAnsi="MyriadPro-Light" w:cs="MyriadPro-Light"/>
          <w:color w:val="000000"/>
          <w:sz w:val="15"/>
          <w:szCs w:val="15"/>
        </w:rPr>
        <w:t>Immunol</w:t>
      </w:r>
      <w:proofErr w:type="spellEnd"/>
      <w:r>
        <w:rPr>
          <w:rFonts w:ascii="MyriadPro-Light" w:hAnsi="MyriadPro-Light" w:cs="MyriadPro-Light"/>
          <w:color w:val="000000"/>
          <w:sz w:val="15"/>
          <w:szCs w:val="15"/>
        </w:rPr>
        <w:t xml:space="preserve">. </w:t>
      </w:r>
      <w:proofErr w:type="gramStart"/>
      <w:r>
        <w:rPr>
          <w:rFonts w:ascii="MyriadPro-Light" w:hAnsi="MyriadPro-Light" w:cs="MyriadPro-Light"/>
          <w:color w:val="000000"/>
          <w:sz w:val="15"/>
          <w:szCs w:val="15"/>
        </w:rPr>
        <w:t>2021;12:879</w:t>
      </w:r>
      <w:proofErr w:type="gramEnd"/>
      <w:r>
        <w:rPr>
          <w:rFonts w:ascii="MyriadPro-Light" w:hAnsi="MyriadPro-Light" w:cs="MyriadPro-Light"/>
          <w:color w:val="000000"/>
          <w:sz w:val="15"/>
          <w:szCs w:val="15"/>
        </w:rPr>
        <w:t>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FF"/>
          <w:sz w:val="15"/>
          <w:szCs w:val="15"/>
        </w:rPr>
        <w:t xml:space="preserve">https://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doi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 xml:space="preserve">. org/ 10. 3389/ </w:t>
      </w:r>
      <w:proofErr w:type="spellStart"/>
      <w:r>
        <w:rPr>
          <w:rFonts w:ascii="MyriadPro-Light" w:hAnsi="MyriadPro-Light" w:cs="MyriadPro-Light"/>
          <w:color w:val="0000FF"/>
          <w:sz w:val="15"/>
          <w:szCs w:val="15"/>
        </w:rPr>
        <w:t>fimmu</w:t>
      </w:r>
      <w:proofErr w:type="spellEnd"/>
      <w:r>
        <w:rPr>
          <w:rFonts w:ascii="MyriadPro-Light" w:hAnsi="MyriadPro-Light" w:cs="MyriadPro-Light"/>
          <w:color w:val="0000FF"/>
          <w:sz w:val="15"/>
          <w:szCs w:val="15"/>
        </w:rPr>
        <w:t>. 2021. 653786</w:t>
      </w:r>
      <w:r>
        <w:rPr>
          <w:rFonts w:ascii="MyriadPro-Light" w:hAnsi="MyriadPro-Light" w:cs="MyriadPro-Light"/>
          <w:color w:val="000000"/>
          <w:sz w:val="15"/>
          <w:szCs w:val="15"/>
        </w:rPr>
        <w:t>.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hAnsi="MyriadPro-Bold" w:cs="MyriadPro-Bold"/>
          <w:b/>
          <w:bCs/>
          <w:color w:val="000000"/>
          <w:sz w:val="21"/>
          <w:szCs w:val="21"/>
        </w:rPr>
      </w:pPr>
      <w:r>
        <w:rPr>
          <w:rFonts w:ascii="MyriadPro-Bold" w:hAnsi="MyriadPro-Bold" w:cs="MyriadPro-Bold"/>
          <w:b/>
          <w:bCs/>
          <w:color w:val="000000"/>
          <w:sz w:val="21"/>
          <w:szCs w:val="21"/>
        </w:rPr>
        <w:t>Publisher’s Note</w:t>
      </w:r>
    </w:p>
    <w:p w:rsidR="008E4B50" w:rsidRDefault="008E4B50" w:rsidP="00BE32F5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5"/>
          <w:szCs w:val="15"/>
        </w:rPr>
      </w:pPr>
      <w:r>
        <w:rPr>
          <w:rFonts w:ascii="MyriadPro-Light" w:hAnsi="MyriadPro-Light" w:cs="MyriadPro-Light"/>
          <w:color w:val="000000"/>
          <w:sz w:val="15"/>
          <w:szCs w:val="15"/>
        </w:rPr>
        <w:t>Springer Nature remains neutral with regard to jurisdictional claims in published</w:t>
      </w:r>
    </w:p>
    <w:p w:rsidR="008E4B50" w:rsidRDefault="008E4B50" w:rsidP="00BE32F5">
      <w:pPr>
        <w:jc w:val="both"/>
      </w:pPr>
      <w:r>
        <w:rPr>
          <w:rFonts w:ascii="MyriadPro-Light" w:hAnsi="MyriadPro-Light" w:cs="MyriadPro-Light"/>
          <w:color w:val="000000"/>
          <w:sz w:val="15"/>
          <w:szCs w:val="15"/>
        </w:rPr>
        <w:t>maps and institutional affiliations.</w:t>
      </w:r>
    </w:p>
    <w:sectPr w:rsidR="008E4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arnockPro-Regular">
    <w:altName w:val="Times New Roman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STIXMath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S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49"/>
    <w:rsid w:val="004563F6"/>
    <w:rsid w:val="007C6E49"/>
    <w:rsid w:val="008C54A3"/>
    <w:rsid w:val="008E4B50"/>
    <w:rsid w:val="009637B3"/>
    <w:rsid w:val="00B37A40"/>
    <w:rsid w:val="00B42429"/>
    <w:rsid w:val="00BB5AED"/>
    <w:rsid w:val="00B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F036"/>
  <w15:chartTrackingRefBased/>
  <w15:docId w15:val="{C8B40F42-36CC-4671-8653-6BA3D3BC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2023-11-18T22:15:00Z</dcterms:created>
  <dcterms:modified xsi:type="dcterms:W3CDTF">2023-11-18T22:45:00Z</dcterms:modified>
</cp:coreProperties>
</file>