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A495E" w14:textId="77777777" w:rsidR="00C52950" w:rsidRDefault="00C52950" w:rsidP="00C52950">
      <w:pPr>
        <w:bidi w:val="0"/>
        <w:spacing w:after="0" w:line="360" w:lineRule="auto"/>
        <w:jc w:val="center"/>
        <w:rPr>
          <w:rFonts w:ascii="Times New Roman" w:eastAsia="Calibri" w:hAnsi="Times New Roman" w:cs="Times New Roman"/>
          <w:color w:val="000000"/>
          <w:kern w:val="0"/>
          <w:sz w:val="28"/>
          <w:szCs w:val="28"/>
          <w:shd w:val="clear" w:color="auto" w:fill="FFFFFF"/>
          <w14:ligatures w14:val="none"/>
        </w:rPr>
      </w:pPr>
      <w:r w:rsidRPr="00C52950">
        <w:rPr>
          <w:rFonts w:ascii="Times New Roman" w:eastAsia="Calibri" w:hAnsi="Times New Roman" w:cs="Times New Roman"/>
          <w:color w:val="000000"/>
          <w:kern w:val="0"/>
          <w:sz w:val="28"/>
          <w:szCs w:val="28"/>
          <w:shd w:val="clear" w:color="auto" w:fill="FFFFFF"/>
          <w14:ligatures w14:val="none"/>
        </w:rPr>
        <w:t xml:space="preserve">Time Trend study of death </w:t>
      </w:r>
      <w:proofErr w:type="spellStart"/>
      <w:r w:rsidRPr="00C52950">
        <w:rPr>
          <w:rFonts w:ascii="Times New Roman" w:eastAsia="Calibri" w:hAnsi="Times New Roman" w:cs="Times New Roman"/>
          <w:color w:val="000000"/>
          <w:kern w:val="0"/>
          <w:sz w:val="28"/>
          <w:szCs w:val="28"/>
          <w:shd w:val="clear" w:color="auto" w:fill="FFFFFF"/>
          <w14:ligatures w14:val="none"/>
        </w:rPr>
        <w:t>aetiologies</w:t>
      </w:r>
      <w:proofErr w:type="spellEnd"/>
      <w:r w:rsidRPr="00C52950">
        <w:rPr>
          <w:rFonts w:ascii="Times New Roman" w:eastAsia="Calibri" w:hAnsi="Times New Roman" w:cs="Times New Roman"/>
          <w:color w:val="000000"/>
          <w:kern w:val="0"/>
          <w:sz w:val="28"/>
          <w:szCs w:val="28"/>
          <w:shd w:val="clear" w:color="auto" w:fill="FFFFFF"/>
          <w14:ligatures w14:val="none"/>
        </w:rPr>
        <w:t xml:space="preserve"> in Basrah Governorate during the years (2012-2018)</w:t>
      </w:r>
    </w:p>
    <w:p w14:paraId="2E995D92" w14:textId="7E27DA9A" w:rsidR="00C52950" w:rsidRPr="00C52950" w:rsidRDefault="00C52950" w:rsidP="00C52950">
      <w:pPr>
        <w:bidi w:val="0"/>
        <w:spacing w:after="0" w:line="360" w:lineRule="auto"/>
        <w:jc w:val="both"/>
        <w:rPr>
          <w:rFonts w:ascii="Times New Roman" w:eastAsia="Calibri" w:hAnsi="Times New Roman" w:cs="Times New Roman"/>
          <w:color w:val="000000"/>
          <w:kern w:val="0"/>
          <w:sz w:val="28"/>
          <w:szCs w:val="28"/>
          <w14:ligatures w14:val="none"/>
        </w:rPr>
      </w:pPr>
      <w:r w:rsidRPr="00C52950">
        <w:rPr>
          <w:rFonts w:ascii="Times New Roman" w:eastAsia="Calibri" w:hAnsi="Times New Roman" w:cs="Times New Roman"/>
          <w:color w:val="000000"/>
          <w:kern w:val="0"/>
          <w:sz w:val="28"/>
          <w:szCs w:val="28"/>
          <w:shd w:val="clear" w:color="auto" w:fill="FFFFFF"/>
          <w14:ligatures w14:val="none"/>
        </w:rPr>
        <w:t xml:space="preserve">The study of deaths and mortality related rates give diseases brunt on population as what they lead to death in different chronological events and time trends. Death monitoring is considered as the mirror of disease severity and health care service quality with apportion of available resources in order to control diseases in priority plus they are considered as continuous renewed data for research. </w:t>
      </w:r>
    </w:p>
    <w:p w14:paraId="4CA77771" w14:textId="77777777" w:rsidR="00C52950" w:rsidRPr="00C52950" w:rsidRDefault="00C52950" w:rsidP="00C52950">
      <w:pPr>
        <w:bidi w:val="0"/>
        <w:spacing w:after="0" w:line="360" w:lineRule="auto"/>
        <w:jc w:val="both"/>
        <w:rPr>
          <w:rFonts w:ascii="Times New Roman" w:eastAsia="Calibri" w:hAnsi="Times New Roman" w:cs="Times New Roman"/>
          <w:color w:val="000000"/>
          <w:kern w:val="0"/>
          <w:sz w:val="28"/>
          <w:szCs w:val="28"/>
          <w14:ligatures w14:val="none"/>
        </w:rPr>
      </w:pPr>
      <w:r w:rsidRPr="00C52950">
        <w:rPr>
          <w:rFonts w:ascii="Times New Roman" w:eastAsia="Calibri" w:hAnsi="Times New Roman" w:cs="Times New Roman"/>
          <w:color w:val="000000"/>
          <w:kern w:val="0"/>
          <w:sz w:val="28"/>
          <w:szCs w:val="28"/>
          <w14:ligatures w14:val="none"/>
        </w:rPr>
        <w:t>This study aimed to describe death trend as a whole and for the top ten major causes of deaths for the years 2012-2018 in Basrah Governorate.</w:t>
      </w:r>
    </w:p>
    <w:p w14:paraId="4F9DF5E1" w14:textId="77777777" w:rsidR="00C52950" w:rsidRPr="00C52950" w:rsidRDefault="00C52950" w:rsidP="00C52950">
      <w:pPr>
        <w:bidi w:val="0"/>
        <w:spacing w:after="0" w:line="360" w:lineRule="auto"/>
        <w:jc w:val="both"/>
        <w:rPr>
          <w:rFonts w:ascii="Times New Roman" w:eastAsia="Calibri" w:hAnsi="Times New Roman" w:cs="Times New Roman"/>
          <w:color w:val="000000"/>
          <w:kern w:val="0"/>
          <w:sz w:val="28"/>
          <w:szCs w:val="28"/>
          <w:shd w:val="clear" w:color="auto" w:fill="FFFFFF"/>
          <w14:ligatures w14:val="none"/>
        </w:rPr>
      </w:pPr>
      <w:r w:rsidRPr="00C52950">
        <w:rPr>
          <w:rFonts w:ascii="Times New Roman" w:eastAsia="Calibri" w:hAnsi="Times New Roman" w:cs="Times New Roman"/>
          <w:color w:val="000000"/>
          <w:kern w:val="0"/>
          <w:sz w:val="28"/>
          <w:szCs w:val="28"/>
          <w14:ligatures w14:val="none"/>
        </w:rPr>
        <w:t xml:space="preserve"> </w:t>
      </w:r>
    </w:p>
    <w:p w14:paraId="79EE8BAE" w14:textId="5B5337C0" w:rsidR="00C52950" w:rsidRPr="00C52950" w:rsidRDefault="00C52950" w:rsidP="00C52950">
      <w:pPr>
        <w:bidi w:val="0"/>
        <w:spacing w:after="0" w:line="360" w:lineRule="auto"/>
        <w:jc w:val="both"/>
        <w:rPr>
          <w:rFonts w:ascii="Times New Roman" w:eastAsia="Calibri" w:hAnsi="Times New Roman" w:cs="Times New Roman"/>
          <w:color w:val="000000"/>
          <w:kern w:val="0"/>
          <w:sz w:val="28"/>
          <w:szCs w:val="28"/>
          <w14:ligatures w14:val="none"/>
        </w:rPr>
      </w:pPr>
      <w:r w:rsidRPr="00C52950">
        <w:rPr>
          <w:rFonts w:ascii="Times New Roman" w:eastAsia="Calibri" w:hAnsi="Times New Roman" w:cs="Times New Roman"/>
          <w:kern w:val="0"/>
          <w:sz w:val="28"/>
          <w:szCs w:val="28"/>
          <w:lang w:bidi="ar-IQ"/>
          <w14:ligatures w14:val="none"/>
        </w:rPr>
        <w:t>A descriptive, retrospective study implemented during the period from 15</w:t>
      </w:r>
      <w:r w:rsidRPr="00C52950">
        <w:rPr>
          <w:rFonts w:ascii="Times New Roman" w:eastAsia="Calibri" w:hAnsi="Times New Roman" w:cs="Times New Roman"/>
          <w:kern w:val="0"/>
          <w:sz w:val="28"/>
          <w:szCs w:val="28"/>
          <w:vertAlign w:val="superscript"/>
          <w:lang w:bidi="ar-IQ"/>
          <w14:ligatures w14:val="none"/>
        </w:rPr>
        <w:t>th</w:t>
      </w:r>
      <w:r w:rsidRPr="00C52950">
        <w:rPr>
          <w:rFonts w:ascii="Times New Roman" w:eastAsia="Calibri" w:hAnsi="Times New Roman" w:cs="Times New Roman"/>
          <w:kern w:val="0"/>
          <w:sz w:val="28"/>
          <w:szCs w:val="28"/>
          <w:lang w:bidi="ar-IQ"/>
          <w14:ligatures w14:val="none"/>
        </w:rPr>
        <w:t xml:space="preserve"> of October 2019 to 28</w:t>
      </w:r>
      <w:r w:rsidRPr="00C52950">
        <w:rPr>
          <w:rFonts w:ascii="Times New Roman" w:eastAsia="Calibri" w:hAnsi="Times New Roman" w:cs="Times New Roman"/>
          <w:kern w:val="0"/>
          <w:sz w:val="28"/>
          <w:szCs w:val="28"/>
          <w:vertAlign w:val="superscript"/>
          <w:lang w:bidi="ar-IQ"/>
          <w14:ligatures w14:val="none"/>
        </w:rPr>
        <w:t>th</w:t>
      </w:r>
      <w:r w:rsidRPr="00C52950">
        <w:rPr>
          <w:rFonts w:ascii="Times New Roman" w:eastAsia="Calibri" w:hAnsi="Times New Roman" w:cs="Times New Roman"/>
          <w:kern w:val="0"/>
          <w:sz w:val="28"/>
          <w:szCs w:val="28"/>
          <w:lang w:bidi="ar-IQ"/>
          <w14:ligatures w14:val="none"/>
        </w:rPr>
        <w:t xml:space="preserve"> of February 2021 in Basrah Governorate </w:t>
      </w:r>
      <w:r w:rsidRPr="00C52950">
        <w:rPr>
          <w:rFonts w:ascii="Times New Roman" w:eastAsia="Calibri" w:hAnsi="Times New Roman" w:cs="Times New Roman"/>
          <w:color w:val="000000"/>
          <w:kern w:val="0"/>
          <w:sz w:val="28"/>
          <w:szCs w:val="28"/>
          <w14:ligatures w14:val="none"/>
        </w:rPr>
        <w:t>included all registered deaths</w:t>
      </w:r>
      <w:r w:rsidRPr="00C52950">
        <w:rPr>
          <w:rFonts w:ascii="Times New Roman" w:eastAsia="Calibri" w:hAnsi="Times New Roman" w:cs="Times New Roman"/>
          <w:kern w:val="0"/>
          <w14:ligatures w14:val="none"/>
        </w:rPr>
        <w:t xml:space="preserve"> </w:t>
      </w:r>
      <w:r w:rsidRPr="00C52950">
        <w:rPr>
          <w:rFonts w:ascii="Times New Roman" w:eastAsia="Calibri" w:hAnsi="Times New Roman" w:cs="Times New Roman"/>
          <w:color w:val="000000"/>
          <w:kern w:val="0"/>
          <w:sz w:val="28"/>
          <w:szCs w:val="28"/>
          <w14:ligatures w14:val="none"/>
        </w:rPr>
        <w:t>for the years 2012-2018.</w:t>
      </w:r>
    </w:p>
    <w:p w14:paraId="4F719556" w14:textId="72402F09" w:rsidR="00C52950" w:rsidRPr="00C52950" w:rsidRDefault="00C52950" w:rsidP="00C52950">
      <w:pPr>
        <w:bidi w:val="0"/>
        <w:spacing w:after="200" w:line="360" w:lineRule="auto"/>
        <w:ind w:left="3"/>
        <w:contextualSpacing/>
        <w:jc w:val="both"/>
        <w:rPr>
          <w:rFonts w:ascii="Times New Roman" w:eastAsia="Calibri" w:hAnsi="Times New Roman" w:cs="Times New Roman"/>
          <w:kern w:val="0"/>
          <w:sz w:val="28"/>
          <w:szCs w:val="28"/>
          <w:lang w:bidi="ar-IQ"/>
          <w14:ligatures w14:val="none"/>
        </w:rPr>
      </w:pPr>
      <w:r w:rsidRPr="00C52950">
        <w:rPr>
          <w:rFonts w:ascii="Times New Roman" w:eastAsia="Calibri" w:hAnsi="Times New Roman" w:cs="Times New Roman"/>
          <w:kern w:val="0"/>
          <w:sz w:val="28"/>
          <w:szCs w:val="28"/>
          <w:lang w:bidi="ar-IQ"/>
          <w14:ligatures w14:val="none"/>
        </w:rPr>
        <w:t xml:space="preserve">In general, the study found that </w:t>
      </w:r>
      <w:r w:rsidRPr="00C52950">
        <w:rPr>
          <w:rFonts w:ascii="Times New Roman" w:eastAsia="Calibri" w:hAnsi="Times New Roman" w:cs="Times New Roman"/>
          <w:color w:val="000000"/>
          <w:kern w:val="0"/>
          <w:sz w:val="28"/>
          <w:szCs w:val="28"/>
          <w14:ligatures w14:val="none"/>
        </w:rPr>
        <w:t xml:space="preserve">the crude death rate declined by 3.9% while age-standardized death rate of all causes </w:t>
      </w:r>
      <w:r w:rsidRPr="00C52950">
        <w:rPr>
          <w:rFonts w:ascii="Times New Roman" w:eastAsia="Calibri" w:hAnsi="Times New Roman" w:cs="Times New Roman"/>
          <w:color w:val="000000"/>
          <w:kern w:val="0"/>
          <w:sz w:val="28"/>
          <w:szCs w:val="28"/>
          <w:lang w:val="en-GB"/>
          <w14:ligatures w14:val="none"/>
        </w:rPr>
        <w:t xml:space="preserve">has </w:t>
      </w:r>
      <w:proofErr w:type="spellStart"/>
      <w:r w:rsidRPr="00C52950">
        <w:rPr>
          <w:rFonts w:ascii="Times New Roman" w:eastAsia="Calibri" w:hAnsi="Times New Roman" w:cs="Times New Roman"/>
          <w:color w:val="000000"/>
          <w:kern w:val="0"/>
          <w:sz w:val="28"/>
          <w:szCs w:val="28"/>
          <w:lang w:val="en-GB"/>
          <w14:ligatures w14:val="none"/>
        </w:rPr>
        <w:t>rised</w:t>
      </w:r>
      <w:proofErr w:type="spellEnd"/>
      <w:r w:rsidRPr="00C52950">
        <w:rPr>
          <w:rFonts w:ascii="Times New Roman" w:eastAsia="Calibri" w:hAnsi="Times New Roman" w:cs="Times New Roman"/>
          <w:color w:val="000000"/>
          <w:kern w:val="0"/>
          <w:sz w:val="28"/>
          <w:szCs w:val="28"/>
          <w14:ligatures w14:val="none"/>
        </w:rPr>
        <w:t xml:space="preserve"> by 21% with excess of </w:t>
      </w:r>
      <w:r w:rsidRPr="00C52950">
        <w:rPr>
          <w:rFonts w:ascii="Times New Roman" w:eastAsia="Calibri" w:hAnsi="Times New Roman" w:cs="Times New Roman"/>
          <w:kern w:val="0"/>
          <w:sz w:val="28"/>
          <w:szCs w:val="28"/>
          <w:lang w:bidi="ar-IQ"/>
          <w14:ligatures w14:val="none"/>
        </w:rPr>
        <w:t xml:space="preserve">male-specific death rates. Infant age specific mortality rate and those who were ≥ 65 years mortality rate represented the highest age-specific mortality rates. Most of deaths occurred at hospital. Life expectancy at birth almost did not </w:t>
      </w:r>
      <w:proofErr w:type="gramStart"/>
      <w:r w:rsidRPr="00C52950">
        <w:rPr>
          <w:rFonts w:ascii="Times New Roman" w:eastAsia="Calibri" w:hAnsi="Times New Roman" w:cs="Times New Roman"/>
          <w:kern w:val="0"/>
          <w:sz w:val="28"/>
          <w:szCs w:val="28"/>
          <w:lang w:bidi="ar-IQ"/>
          <w14:ligatures w14:val="none"/>
        </w:rPr>
        <w:t>changed</w:t>
      </w:r>
      <w:proofErr w:type="gramEnd"/>
      <w:r w:rsidRPr="00C52950">
        <w:rPr>
          <w:rFonts w:ascii="Times New Roman" w:eastAsia="Calibri" w:hAnsi="Times New Roman" w:cs="Times New Roman"/>
          <w:kern w:val="0"/>
          <w:sz w:val="28"/>
          <w:szCs w:val="28"/>
          <w:lang w:bidi="ar-IQ"/>
          <w14:ligatures w14:val="none"/>
        </w:rPr>
        <w:t xml:space="preserve">. The potential years of life lost </w:t>
      </w:r>
      <w:proofErr w:type="spellStart"/>
      <w:r w:rsidRPr="00C52950">
        <w:rPr>
          <w:rFonts w:ascii="Times New Roman" w:eastAsia="Calibri" w:hAnsi="Times New Roman" w:cs="Times New Roman"/>
          <w:kern w:val="0"/>
          <w:sz w:val="28"/>
          <w:szCs w:val="28"/>
          <w:lang w:bidi="ar-IQ"/>
          <w14:ligatures w14:val="none"/>
        </w:rPr>
        <w:t>rised</w:t>
      </w:r>
      <w:proofErr w:type="spellEnd"/>
      <w:r w:rsidRPr="00C52950">
        <w:rPr>
          <w:rFonts w:ascii="Times New Roman" w:eastAsia="Calibri" w:hAnsi="Times New Roman" w:cs="Times New Roman"/>
          <w:kern w:val="0"/>
          <w:sz w:val="28"/>
          <w:szCs w:val="28"/>
          <w:lang w:bidi="ar-IQ"/>
          <w14:ligatures w14:val="none"/>
        </w:rPr>
        <w:t xml:space="preserve"> by 4.7 %. The top 3 major causes of death were cerebrovascular disorders (I60-I69), other forms of heart diseases (I30-I52) with </w:t>
      </w:r>
      <w:proofErr w:type="spellStart"/>
      <w:r w:rsidRPr="00C52950">
        <w:rPr>
          <w:rFonts w:ascii="Times New Roman" w:eastAsia="Calibri" w:hAnsi="Times New Roman" w:cs="Times New Roman"/>
          <w:kern w:val="0"/>
          <w:sz w:val="28"/>
          <w:szCs w:val="28"/>
          <w:lang w:bidi="ar-IQ"/>
          <w14:ligatures w14:val="none"/>
        </w:rPr>
        <w:t>ischaemic</w:t>
      </w:r>
      <w:proofErr w:type="spellEnd"/>
      <w:r w:rsidRPr="00C52950">
        <w:rPr>
          <w:rFonts w:ascii="Times New Roman" w:eastAsia="Calibri" w:hAnsi="Times New Roman" w:cs="Times New Roman"/>
          <w:kern w:val="0"/>
          <w:sz w:val="28"/>
          <w:szCs w:val="28"/>
          <w:lang w:bidi="ar-IQ"/>
          <w14:ligatures w14:val="none"/>
        </w:rPr>
        <w:t xml:space="preserve"> heart disease (I20-I25) </w:t>
      </w:r>
      <w:proofErr w:type="gramStart"/>
      <w:r w:rsidRPr="00C52950">
        <w:rPr>
          <w:rFonts w:ascii="Times New Roman" w:eastAsia="Calibri" w:hAnsi="Times New Roman" w:cs="Times New Roman"/>
          <w:kern w:val="0"/>
          <w:sz w:val="28"/>
          <w:szCs w:val="28"/>
          <w:lang w:bidi="ar-IQ"/>
          <w14:ligatures w14:val="none"/>
        </w:rPr>
        <w:t>and  respiratory</w:t>
      </w:r>
      <w:proofErr w:type="gramEnd"/>
      <w:r w:rsidRPr="00C52950">
        <w:rPr>
          <w:rFonts w:ascii="Times New Roman" w:eastAsia="Calibri" w:hAnsi="Times New Roman" w:cs="Times New Roman"/>
          <w:kern w:val="0"/>
          <w:sz w:val="28"/>
          <w:szCs w:val="28"/>
          <w:lang w:bidi="ar-IQ"/>
          <w14:ligatures w14:val="none"/>
        </w:rPr>
        <w:t xml:space="preserve"> and cardiovascular disorders specific to perinatal period (P20-P29).</w:t>
      </w:r>
      <w:r w:rsidRPr="00C52950">
        <w:rPr>
          <w:rFonts w:ascii="Times New Roman" w:eastAsia="Calibri" w:hAnsi="Times New Roman" w:cs="Times New Roman"/>
          <w:kern w:val="0"/>
          <w14:ligatures w14:val="none"/>
        </w:rPr>
        <w:t xml:space="preserve"> </w:t>
      </w:r>
      <w:r w:rsidRPr="00C52950">
        <w:rPr>
          <w:rFonts w:ascii="Times New Roman" w:eastAsia="Calibri" w:hAnsi="Times New Roman" w:cs="Times New Roman"/>
          <w:kern w:val="0"/>
          <w:sz w:val="28"/>
          <w:szCs w:val="28"/>
          <w:lang w:bidi="ar-IQ"/>
          <w14:ligatures w14:val="none"/>
        </w:rPr>
        <w:t xml:space="preserve">The maternal mortality ratio declined by 10.7% and puerperium period disorders were the top causes of maternal mortality. There was a decline in the cause specific mortality due to </w:t>
      </w:r>
      <w:proofErr w:type="gramStart"/>
      <w:r w:rsidRPr="00C52950">
        <w:rPr>
          <w:rFonts w:ascii="Times New Roman" w:eastAsia="Calibri" w:hAnsi="Times New Roman" w:cs="Times New Roman"/>
          <w:kern w:val="0"/>
          <w:sz w:val="28"/>
          <w:szCs w:val="28"/>
          <w:lang w:bidi="ar-IQ"/>
          <w14:ligatures w14:val="none"/>
        </w:rPr>
        <w:t>chronic  diseases</w:t>
      </w:r>
      <w:proofErr w:type="gramEnd"/>
      <w:r w:rsidRPr="00C52950">
        <w:rPr>
          <w:rFonts w:ascii="Times New Roman" w:eastAsia="Calibri" w:hAnsi="Times New Roman" w:cs="Times New Roman"/>
          <w:kern w:val="0"/>
          <w:sz w:val="28"/>
          <w:szCs w:val="28"/>
          <w:lang w:bidi="ar-IQ"/>
          <w14:ligatures w14:val="none"/>
        </w:rPr>
        <w:t xml:space="preserve">. There was a decrease of under-five mortality rate by 23.4% with the majority of deaths occurred in infancy mainly in the neonatal period. </w:t>
      </w:r>
    </w:p>
    <w:p w14:paraId="537AD949" w14:textId="77777777" w:rsidR="00C52950" w:rsidRPr="00C52950" w:rsidRDefault="00C52950" w:rsidP="00C52950">
      <w:pPr>
        <w:bidi w:val="0"/>
        <w:spacing w:after="200" w:line="360" w:lineRule="auto"/>
        <w:contextualSpacing/>
        <w:jc w:val="both"/>
        <w:rPr>
          <w:rFonts w:ascii="Times New Roman" w:eastAsia="Calibri" w:hAnsi="Times New Roman" w:cs="Times New Roman"/>
          <w:kern w:val="0"/>
          <w:sz w:val="28"/>
          <w:szCs w:val="28"/>
          <w:lang w:bidi="ar-IQ"/>
          <w14:ligatures w14:val="none"/>
        </w:rPr>
      </w:pPr>
      <w:r w:rsidRPr="00C52950">
        <w:rPr>
          <w:rFonts w:ascii="Times New Roman" w:eastAsia="Calibri" w:hAnsi="Times New Roman" w:cs="Times New Roman"/>
          <w:kern w:val="0"/>
          <w:sz w:val="28"/>
          <w:szCs w:val="28"/>
          <w:lang w:bidi="ar-IQ"/>
          <w14:ligatures w14:val="none"/>
        </w:rPr>
        <w:lastRenderedPageBreak/>
        <w:t xml:space="preserve">In conclusion, there was </w:t>
      </w:r>
      <w:r w:rsidRPr="00C52950">
        <w:rPr>
          <w:rFonts w:ascii="Times New Roman" w:eastAsia="Calibri" w:hAnsi="Times New Roman" w:cs="Times New Roman"/>
          <w:color w:val="000000"/>
          <w:kern w:val="0"/>
          <w:sz w:val="28"/>
          <w:szCs w:val="28"/>
          <w14:ligatures w14:val="none"/>
        </w:rPr>
        <w:t>a decline in crude death rate and increase of age-standardized death rate of all causes. E</w:t>
      </w:r>
      <w:r w:rsidRPr="00C52950">
        <w:rPr>
          <w:rFonts w:ascii="Times New Roman" w:eastAsia="Calibri" w:hAnsi="Times New Roman" w:cs="Times New Roman"/>
          <w:kern w:val="0"/>
          <w:sz w:val="28"/>
          <w:szCs w:val="28"/>
          <w:lang w:bidi="ar-IQ"/>
          <w14:ligatures w14:val="none"/>
        </w:rPr>
        <w:t>xcess of male deaths. &lt; 1 year age-specific mortality rate and mortality of people ≥ 65 years represented the highest age-specific deaths</w:t>
      </w:r>
      <w:r w:rsidRPr="00C52950">
        <w:rPr>
          <w:rFonts w:ascii="Times New Roman" w:eastAsia="Calibri" w:hAnsi="Times New Roman" w:cs="Times New Roman"/>
          <w:kern w:val="0"/>
          <w:sz w:val="28"/>
          <w:szCs w:val="28"/>
          <w14:ligatures w14:val="none"/>
        </w:rPr>
        <w:t>.</w:t>
      </w:r>
    </w:p>
    <w:p w14:paraId="2AEEA594" w14:textId="23596B5A" w:rsidR="00C52950" w:rsidRPr="00C52950" w:rsidRDefault="00C52950" w:rsidP="00C52950">
      <w:pPr>
        <w:bidi w:val="0"/>
        <w:spacing w:after="200" w:line="360" w:lineRule="auto"/>
        <w:jc w:val="mediumKashida"/>
        <w:rPr>
          <w:rFonts w:ascii="Times New Roman" w:eastAsia="Calibri" w:hAnsi="Times New Roman" w:cs="Times New Roman"/>
          <w:kern w:val="0"/>
          <w:sz w:val="28"/>
          <w:szCs w:val="28"/>
          <w:lang w:bidi="ar-IQ"/>
          <w14:ligatures w14:val="none"/>
        </w:rPr>
      </w:pPr>
      <w:r w:rsidRPr="00C52950">
        <w:rPr>
          <w:rFonts w:ascii="Times New Roman" w:eastAsia="Calibri" w:hAnsi="Times New Roman" w:cs="Times New Roman"/>
          <w:kern w:val="0"/>
          <w:sz w:val="28"/>
          <w:szCs w:val="28"/>
          <w:lang w:bidi="ar-IQ"/>
          <w14:ligatures w14:val="none"/>
        </w:rPr>
        <w:t>The present study recommends improvement</w:t>
      </w:r>
      <w:r w:rsidRPr="00C52950">
        <w:rPr>
          <w:rFonts w:ascii="Times New Roman" w:eastAsia="Calibri" w:hAnsi="Times New Roman" w:cs="Times New Roman"/>
          <w:kern w:val="0"/>
          <w:sz w:val="28"/>
          <w:szCs w:val="28"/>
          <w14:ligatures w14:val="none"/>
        </w:rPr>
        <w:t xml:space="preserve">s </w:t>
      </w:r>
      <w:r w:rsidRPr="00C52950">
        <w:rPr>
          <w:rFonts w:ascii="Times New Roman" w:eastAsia="Calibri" w:hAnsi="Times New Roman" w:cs="Times New Roman"/>
          <w:kern w:val="0"/>
          <w:sz w:val="28"/>
          <w:szCs w:val="28"/>
          <w:lang w:bidi="ar-IQ"/>
          <w14:ligatures w14:val="none"/>
        </w:rPr>
        <w:t>of antenatal and geriatric</w:t>
      </w:r>
      <w:r w:rsidRPr="00C52950">
        <w:rPr>
          <w:rFonts w:ascii="Times New Roman" w:eastAsia="Calibri" w:hAnsi="Times New Roman" w:cs="Times New Roman"/>
          <w:kern w:val="0"/>
          <w14:ligatures w14:val="none"/>
        </w:rPr>
        <w:t xml:space="preserve"> </w:t>
      </w:r>
      <w:r w:rsidRPr="00C52950">
        <w:rPr>
          <w:rFonts w:ascii="Times New Roman" w:eastAsia="Calibri" w:hAnsi="Times New Roman" w:cs="Times New Roman"/>
          <w:kern w:val="0"/>
          <w:sz w:val="28"/>
          <w:szCs w:val="28"/>
          <w:lang w:bidi="ar-IQ"/>
          <w14:ligatures w14:val="none"/>
        </w:rPr>
        <w:t xml:space="preserve">health care services including cardiac rehabilitation clinics. </w:t>
      </w:r>
    </w:p>
    <w:p w14:paraId="2052F35D" w14:textId="77777777" w:rsidR="00BB78F7" w:rsidRDefault="00BB78F7" w:rsidP="00C52950">
      <w:pPr>
        <w:bidi w:val="0"/>
        <w:rPr>
          <w:rFonts w:hint="cs"/>
          <w:lang w:bidi="ar-IQ"/>
        </w:rPr>
      </w:pPr>
    </w:p>
    <w:sectPr w:rsidR="00BB78F7" w:rsidSect="00BB78F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50"/>
    <w:rsid w:val="0065150C"/>
    <w:rsid w:val="00BB78F7"/>
    <w:rsid w:val="00C529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1B73"/>
  <w15:chartTrackingRefBased/>
  <w15:docId w15:val="{7F4592E3-8D08-422C-B010-9C537EE4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Hasanain Al-Ali</dc:creator>
  <cp:keywords/>
  <dc:description/>
  <cp:lastModifiedBy>Hasanain Al-Ali</cp:lastModifiedBy>
  <cp:revision>1</cp:revision>
  <dcterms:created xsi:type="dcterms:W3CDTF">2024-08-13T18:12:00Z</dcterms:created>
  <dcterms:modified xsi:type="dcterms:W3CDTF">2024-08-13T18:17:00Z</dcterms:modified>
</cp:coreProperties>
</file>