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spacing w:after="24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السمنة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والربو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: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علاقة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معقدة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مزمن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يصيب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الجهاز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التنفسي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ويتميز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بالتهاب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وتضيق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الهوائية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صعوبة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التنفس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والسعال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الصدر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تتميز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المشاكل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أمراض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والسكري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والسرطان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الأبحاث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ارتباط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والربو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تفاقم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للإصابة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بنسبة</w:t>
      </w:r>
      <w:r w:rsidDel="00000000" w:rsidR="00000000" w:rsidRPr="00000000">
        <w:rPr>
          <w:sz w:val="36"/>
          <w:szCs w:val="36"/>
          <w:rtl w:val="1"/>
        </w:rPr>
        <w:t xml:space="preserve"> 20-40٪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الطبيعي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يعزى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الارتباط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العوامل</w:t>
      </w:r>
      <w:r w:rsidDel="00000000" w:rsidR="00000000" w:rsidRPr="00000000">
        <w:rPr>
          <w:sz w:val="36"/>
          <w:szCs w:val="36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0" w:afterAutospacing="0" w:lineRule="auto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الالتهاب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تفرز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الدهون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المخزنة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تسمى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السيتوكينات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الجهاز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التنفسي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afterAutospacing="0" w:lineRule="auto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التغيرات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جهاز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المناعة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تغييرات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جهاز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المناعة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للإصابة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بالربو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afterAutospacing="0" w:lineRule="auto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التغيرات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بنية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الرئة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تضييق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الهوائية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سماكة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جدرانها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240" w:lineRule="auto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اضطرابات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النوم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اضطرابات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توقف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التنفس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أثناء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تفاقم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طرق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تجنب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النشاط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البدني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يشعر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المصابون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بالقلق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ممارسة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الرياضة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مخاوفهم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تفاقم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أعراضهم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انخفاض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النشاط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البدني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آثار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الأدوية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استخدام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لعلاج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الكورتيزون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التوصيات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المصابون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بالسمنة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للإصابة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بالربو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لفقدان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المصابين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للحفاظ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فقدان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أعراض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ويقلل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مخاطر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تفاقمه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نتذكر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فقدان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تدريجية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يستغرق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الأمر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الوقت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لتحقيق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المرجوة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فإن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الجهود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المبذولة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ستؤتي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ثمارها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النهاية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فقدان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الشخص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مخاطر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الإصابة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بأمراض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مزمنة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أخرى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د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ضياء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بخيت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الربيعي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spacing w:after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اخصائي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امراض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باطنية</w:t>
      </w:r>
      <w:r w:rsidDel="00000000" w:rsidR="00000000" w:rsidRPr="00000000">
        <w:rPr>
          <w:sz w:val="36"/>
          <w:szCs w:val="36"/>
          <w:rtl w:val="1"/>
        </w:rPr>
        <w:t xml:space="preserve"> - </w:t>
      </w:r>
      <w:r w:rsidDel="00000000" w:rsidR="00000000" w:rsidRPr="00000000">
        <w:rPr>
          <w:sz w:val="36"/>
          <w:szCs w:val="36"/>
          <w:rtl w:val="1"/>
        </w:rPr>
        <w:t xml:space="preserve">صدرية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bidi w:val="1"/>
        <w:spacing w:after="80" w:before="28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80" w:lineRule="auto"/>
    </w:pPr>
    <w:rPr>
      <w:b w:val="1"/>
      <w:color w:val="1155cc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80" w:line="240" w:lineRule="auto"/>
    </w:pPr>
    <w:rPr>
      <w:b w:val="1"/>
      <w:color w:val="99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351c75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360" w:lineRule="auto"/>
      <w:jc w:val="center"/>
    </w:pPr>
    <w:rPr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