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61" w:rsidRDefault="00A24D61" w:rsidP="00A24D61">
      <w:pPr>
        <w:bidi/>
        <w:jc w:val="both"/>
        <w:rPr>
          <w:rFonts w:hint="cs"/>
          <w:b/>
          <w:bCs/>
          <w:sz w:val="40"/>
          <w:szCs w:val="40"/>
          <w:rtl/>
        </w:rPr>
      </w:pPr>
      <w:r w:rsidRPr="00B937EE">
        <w:rPr>
          <w:b/>
          <w:bCs/>
          <w:sz w:val="40"/>
          <w:szCs w:val="40"/>
          <w:rtl/>
        </w:rPr>
        <w:t>البلوغ المبكر</w:t>
      </w:r>
    </w:p>
    <w:p w:rsidR="00FD51D9" w:rsidRDefault="00FD51D9" w:rsidP="00FD51D9">
      <w:pPr>
        <w:shd w:val="clear" w:color="auto" w:fill="FFFFFF"/>
        <w:bidi/>
        <w:spacing w:after="360" w:line="360" w:lineRule="atLeast"/>
        <w:rPr>
          <w:rFonts w:ascii="Helvetica" w:eastAsia="Times New Roman" w:hAnsi="Helvetica" w:cs="Helvetica" w:hint="cs"/>
          <w:b/>
          <w:bCs/>
          <w:color w:val="111111"/>
          <w:sz w:val="24"/>
          <w:szCs w:val="24"/>
          <w:rtl/>
        </w:rPr>
      </w:pPr>
      <w:r>
        <w:rPr>
          <w:rFonts w:ascii="Helvetica" w:eastAsia="Times New Roman" w:hAnsi="Helvetica" w:cs="Helvetica" w:hint="cs"/>
          <w:b/>
          <w:bCs/>
          <w:color w:val="111111"/>
          <w:sz w:val="24"/>
          <w:szCs w:val="24"/>
          <w:rtl/>
        </w:rPr>
        <w:t>احمد ابراهيم اسماعيل</w:t>
      </w:r>
    </w:p>
    <w:p w:rsidR="00FD51D9" w:rsidRPr="00B937EE" w:rsidRDefault="00FD51D9" w:rsidP="00FD51D9">
      <w:pPr>
        <w:bidi/>
        <w:jc w:val="both"/>
        <w:rPr>
          <w:b/>
          <w:bCs/>
          <w:sz w:val="40"/>
          <w:szCs w:val="40"/>
        </w:rPr>
      </w:pPr>
      <w:r>
        <w:rPr>
          <w:rFonts w:ascii="Helvetica" w:eastAsia="Times New Roman" w:hAnsi="Helvetica" w:cs="Helvetica" w:hint="cs"/>
          <w:b/>
          <w:bCs/>
          <w:color w:val="111111"/>
          <w:sz w:val="24"/>
          <w:szCs w:val="24"/>
          <w:rtl/>
        </w:rPr>
        <w:t xml:space="preserve"> اختصاص دقيق سكري وغدد صم اطفال</w:t>
      </w:r>
    </w:p>
    <w:p w:rsidR="00F65C91" w:rsidRPr="00453384" w:rsidRDefault="00FD51D9" w:rsidP="00453384">
      <w:pPr>
        <w:bidi/>
        <w:jc w:val="both"/>
        <w:rPr>
          <w:rtl/>
        </w:rPr>
      </w:pPr>
      <w:r>
        <w:rPr>
          <w:rFonts w:hint="cs"/>
          <w:rtl/>
        </w:rPr>
        <w:t xml:space="preserve">البلوغ المبكر </w:t>
      </w:r>
      <w:r w:rsidR="00A24D61">
        <w:rPr>
          <w:rtl/>
        </w:rPr>
        <w:t>هو ظهور الصفات الثانوية المميزة لكل جنس (مثل نمو الثدي لدى الاناث او ظهور االشعر في المناطق التناسلية للجنسين وغيرها )  قبل الفترة المحددة في الاطفال</w:t>
      </w:r>
      <w:r w:rsidR="00453384">
        <w:rPr>
          <w:rFonts w:hint="cs"/>
          <w:rtl/>
        </w:rPr>
        <w:t xml:space="preserve"> و </w:t>
      </w:r>
      <w:r w:rsidR="00F65C91" w:rsidRPr="00F65C91">
        <w:rPr>
          <w:rFonts w:ascii="Helvetica" w:eastAsia="Times New Roman" w:hAnsi="Helvetica" w:cs="Helvetica"/>
          <w:color w:val="111111"/>
          <w:sz w:val="24"/>
          <w:szCs w:val="24"/>
          <w:rtl/>
        </w:rPr>
        <w:t>تتضمن علامات وأعراض البلوغ المبكر تطوُّر الأشياء التالي ذِكرها قبل سن الثامنة لدى الفتيات وقبل سن التاسعة لدى الأولاد.</w:t>
      </w:r>
    </w:p>
    <w:p w:rsidR="00F65C91" w:rsidRPr="00F65C91" w:rsidRDefault="00F65C91" w:rsidP="00F65C91">
      <w:pPr>
        <w:numPr>
          <w:ilvl w:val="0"/>
          <w:numId w:val="2"/>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65C91">
        <w:rPr>
          <w:rFonts w:ascii="Helvetica" w:eastAsia="Times New Roman" w:hAnsi="Helvetica" w:cs="Helvetica"/>
          <w:color w:val="111111"/>
          <w:sz w:val="24"/>
          <w:szCs w:val="24"/>
          <w:rtl/>
        </w:rPr>
        <w:t>كبر حجم الثدي ونزول الدورة الشهرية الأولى لدى الفتيات</w:t>
      </w:r>
    </w:p>
    <w:p w:rsidR="00F65C91" w:rsidRPr="00F65C91" w:rsidRDefault="00F65C91" w:rsidP="00F65C91">
      <w:pPr>
        <w:numPr>
          <w:ilvl w:val="0"/>
          <w:numId w:val="2"/>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65C91">
        <w:rPr>
          <w:rFonts w:ascii="Helvetica" w:eastAsia="Times New Roman" w:hAnsi="Helvetica" w:cs="Helvetica"/>
          <w:color w:val="111111"/>
          <w:sz w:val="24"/>
          <w:szCs w:val="24"/>
          <w:rtl/>
        </w:rPr>
        <w:t>زيادة حجم الخصيتين والقضيب ونمو شعر الوجه وخشونة الصوت لدى الأولاد</w:t>
      </w:r>
    </w:p>
    <w:p w:rsidR="00F65C91" w:rsidRPr="00F65C91" w:rsidRDefault="00F65C91" w:rsidP="00F65C91">
      <w:pPr>
        <w:numPr>
          <w:ilvl w:val="0"/>
          <w:numId w:val="2"/>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65C91">
        <w:rPr>
          <w:rFonts w:ascii="Helvetica" w:eastAsia="Times New Roman" w:hAnsi="Helvetica" w:cs="Helvetica"/>
          <w:color w:val="111111"/>
          <w:sz w:val="24"/>
          <w:szCs w:val="24"/>
          <w:rtl/>
        </w:rPr>
        <w:t>نمو شعر الإبط</w:t>
      </w:r>
    </w:p>
    <w:p w:rsidR="00F65C91" w:rsidRPr="00F65C91" w:rsidRDefault="00F65C91" w:rsidP="00F65C91">
      <w:pPr>
        <w:numPr>
          <w:ilvl w:val="0"/>
          <w:numId w:val="2"/>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65C91">
        <w:rPr>
          <w:rFonts w:ascii="Helvetica" w:eastAsia="Times New Roman" w:hAnsi="Helvetica" w:cs="Helvetica"/>
          <w:color w:val="111111"/>
          <w:sz w:val="24"/>
          <w:szCs w:val="24"/>
          <w:rtl/>
        </w:rPr>
        <w:t>أو العانة</w:t>
      </w:r>
    </w:p>
    <w:p w:rsidR="00F65C91" w:rsidRPr="00F65C91" w:rsidRDefault="00F65C91" w:rsidP="00F65C91">
      <w:pPr>
        <w:numPr>
          <w:ilvl w:val="0"/>
          <w:numId w:val="2"/>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65C91">
        <w:rPr>
          <w:rFonts w:ascii="Helvetica" w:eastAsia="Times New Roman" w:hAnsi="Helvetica" w:cs="Helvetica"/>
          <w:color w:val="111111"/>
          <w:sz w:val="24"/>
          <w:szCs w:val="24"/>
          <w:rtl/>
        </w:rPr>
        <w:t>حَبُّ الشباب (البثور)</w:t>
      </w:r>
    </w:p>
    <w:p w:rsidR="00F65C91" w:rsidRDefault="00F65C91" w:rsidP="001E50D6">
      <w:pPr>
        <w:numPr>
          <w:ilvl w:val="0"/>
          <w:numId w:val="2"/>
        </w:numPr>
        <w:shd w:val="clear" w:color="auto" w:fill="FFFFFF"/>
        <w:bidi/>
        <w:spacing w:before="100" w:beforeAutospacing="1" w:after="180" w:line="336" w:lineRule="atLeast"/>
        <w:ind w:left="540"/>
        <w:rPr>
          <w:rFonts w:ascii="Helvetica" w:eastAsia="Times New Roman" w:hAnsi="Helvetica" w:cs="Helvetica"/>
          <w:color w:val="111111"/>
          <w:sz w:val="24"/>
          <w:szCs w:val="24"/>
        </w:rPr>
      </w:pPr>
      <w:r w:rsidRPr="00F65C91">
        <w:rPr>
          <w:rFonts w:ascii="Helvetica" w:eastAsia="Times New Roman" w:hAnsi="Helvetica" w:cs="Helvetica"/>
          <w:color w:val="111111"/>
          <w:sz w:val="24"/>
          <w:szCs w:val="24"/>
          <w:rtl/>
        </w:rPr>
        <w:t>رائحة أجسام البالغين</w:t>
      </w:r>
    </w:p>
    <w:p w:rsidR="001E50D6" w:rsidRPr="001E50D6" w:rsidRDefault="001E50D6" w:rsidP="001E50D6">
      <w:pPr>
        <w:shd w:val="clear" w:color="auto" w:fill="FFFFFF"/>
        <w:bidi/>
        <w:spacing w:before="100" w:beforeAutospacing="1" w:after="180" w:line="336" w:lineRule="atLeast"/>
        <w:ind w:left="540"/>
        <w:rPr>
          <w:rFonts w:ascii="Helvetica" w:eastAsia="Times New Roman" w:hAnsi="Helvetica" w:cs="Helvetica"/>
          <w:color w:val="111111"/>
          <w:sz w:val="24"/>
          <w:szCs w:val="24"/>
          <w:rtl/>
        </w:rPr>
      </w:pPr>
    </w:p>
    <w:p w:rsidR="00A24D61" w:rsidRPr="00A24D61" w:rsidRDefault="00A24D61" w:rsidP="00A24D61">
      <w:pPr>
        <w:shd w:val="clear" w:color="auto" w:fill="FFFFFF"/>
        <w:bidi/>
        <w:spacing w:after="360" w:line="240" w:lineRule="auto"/>
        <w:outlineLvl w:val="1"/>
        <w:rPr>
          <w:rFonts w:ascii="Helvetica" w:eastAsia="Times New Roman" w:hAnsi="Helvetica" w:cs="Helvetica"/>
          <w:color w:val="111111"/>
          <w:sz w:val="39"/>
          <w:szCs w:val="39"/>
        </w:rPr>
      </w:pPr>
      <w:r w:rsidRPr="00A24D61">
        <w:rPr>
          <w:rFonts w:ascii="Helvetica" w:eastAsia="Times New Roman" w:hAnsi="Helvetica" w:cs="Helvetica"/>
          <w:color w:val="111111"/>
          <w:sz w:val="39"/>
          <w:szCs w:val="39"/>
          <w:rtl/>
        </w:rPr>
        <w:t>الأسباب</w:t>
      </w:r>
    </w:p>
    <w:p w:rsidR="00A24D61" w:rsidRPr="00A24D61" w:rsidRDefault="00A24D61" w:rsidP="00A24D61">
      <w:pPr>
        <w:shd w:val="clear" w:color="auto" w:fill="FFFFFF"/>
        <w:bidi/>
        <w:spacing w:after="360" w:line="360" w:lineRule="atLeast"/>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يشارك هرمون الإستروجين في نمو السمات الجنسية لدى الإناث وتطوُّرها. أما هرمون التستوستيرون، فهو المسؤول عن نمو السمات الجنسية لدى الذكور وتطوُّرها.</w:t>
      </w:r>
    </w:p>
    <w:p w:rsidR="00A24D61" w:rsidRPr="00A24D61" w:rsidRDefault="00A24D61" w:rsidP="00A24D61">
      <w:pPr>
        <w:shd w:val="clear" w:color="auto" w:fill="FFFFFF"/>
        <w:bidi/>
        <w:spacing w:after="360" w:line="360" w:lineRule="atLeast"/>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يعتمد السبب وراء بدء هذه العملية في وقت مبكر لدى بعض الأطفال على ما إذا كان لديهم بلوغ مبكر مركزي أو بلوغ مبكر طرفي.</w:t>
      </w:r>
    </w:p>
    <w:p w:rsidR="00A24D61" w:rsidRPr="00A24D61" w:rsidRDefault="00A24D61" w:rsidP="00A24D61">
      <w:pPr>
        <w:shd w:val="clear" w:color="auto" w:fill="FFFFFF"/>
        <w:bidi/>
        <w:spacing w:after="360" w:line="240" w:lineRule="auto"/>
        <w:outlineLvl w:val="2"/>
        <w:rPr>
          <w:rFonts w:ascii="Helvetica" w:eastAsia="Times New Roman" w:hAnsi="Helvetica" w:cs="Helvetica"/>
          <w:b/>
          <w:bCs/>
          <w:color w:val="111111"/>
          <w:sz w:val="32"/>
          <w:szCs w:val="32"/>
          <w:rtl/>
        </w:rPr>
      </w:pPr>
      <w:r w:rsidRPr="00A24D61">
        <w:rPr>
          <w:rFonts w:ascii="Helvetica" w:eastAsia="Times New Roman" w:hAnsi="Helvetica" w:cs="Helvetica"/>
          <w:b/>
          <w:bCs/>
          <w:color w:val="111111"/>
          <w:sz w:val="32"/>
          <w:szCs w:val="32"/>
          <w:rtl/>
        </w:rPr>
        <w:t>البلوغ المبكِّر المركزي</w:t>
      </w:r>
    </w:p>
    <w:p w:rsidR="00A24D61" w:rsidRPr="00A24D61" w:rsidRDefault="00A24D61" w:rsidP="00A24D61">
      <w:pPr>
        <w:shd w:val="clear" w:color="auto" w:fill="FFFFFF"/>
        <w:bidi/>
        <w:spacing w:after="360" w:line="360" w:lineRule="atLeast"/>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في الغالب، لا يُمكن تحديد سبب هذا النوع من البلوغ المبكِّر.</w:t>
      </w:r>
    </w:p>
    <w:p w:rsidR="00A24D61" w:rsidRPr="00A24D61" w:rsidRDefault="00A24D61" w:rsidP="00A24D61">
      <w:pPr>
        <w:shd w:val="clear" w:color="auto" w:fill="FFFFFF"/>
        <w:bidi/>
        <w:spacing w:after="360" w:line="360" w:lineRule="atLeast"/>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عند الإصابة بالبلوغ المبكِّر المركزي، يبدأ البلوغ المبكِّر في وقت قريب جدًّا. بينما يسير نمط العملية وتوقيت خطواتها بنسق طبيعي في الجوانب الأخرى. لا تظهر مشكلة طبية كامنة، ولا يُمكن تحديد سبب للبلوغ المبكِّر لدى معظم الأطفال المصابين بهذه الحالة.</w:t>
      </w:r>
    </w:p>
    <w:p w:rsidR="00A24D61" w:rsidRPr="00A24D61" w:rsidRDefault="00A24D61" w:rsidP="00A24D61">
      <w:pPr>
        <w:shd w:val="clear" w:color="auto" w:fill="FFFFFF"/>
        <w:bidi/>
        <w:spacing w:after="360" w:line="360" w:lineRule="atLeast"/>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lastRenderedPageBreak/>
        <w:t>وفي حالات نادرة، يُمكن أن يَحدُث البلوغ المبكِّر المركزي نتيجة لما يلي:</w:t>
      </w:r>
    </w:p>
    <w:p w:rsidR="00A24D61" w:rsidRPr="00A24D61" w:rsidRDefault="00A24D61" w:rsidP="00A24D61">
      <w:pPr>
        <w:numPr>
          <w:ilvl w:val="0"/>
          <w:numId w:val="10"/>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ورم في الدماغ أو الحبل النخاعي (الجهاز العصبي المركزي)</w:t>
      </w:r>
    </w:p>
    <w:p w:rsidR="00A24D61" w:rsidRPr="00A24D61" w:rsidRDefault="00A24D61" w:rsidP="00A24D61">
      <w:pPr>
        <w:numPr>
          <w:ilvl w:val="0"/>
          <w:numId w:val="10"/>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خلل في الدماغ يَظهَر أثناء الولادة، مثل تراكُم السوائل (الاستسقاء الدماغي) أو الورم الحميد (الورم خللي النسيج)</w:t>
      </w:r>
    </w:p>
    <w:p w:rsidR="00A24D61" w:rsidRPr="00A24D61" w:rsidRDefault="00A24D61" w:rsidP="00A24D61">
      <w:pPr>
        <w:numPr>
          <w:ilvl w:val="0"/>
          <w:numId w:val="10"/>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توجيه إشعاع إلى الدماغ أو الحبل النخاعي</w:t>
      </w:r>
    </w:p>
    <w:p w:rsidR="00A24D61" w:rsidRPr="00A24D61" w:rsidRDefault="00A24D61" w:rsidP="00A24D61">
      <w:pPr>
        <w:numPr>
          <w:ilvl w:val="0"/>
          <w:numId w:val="10"/>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إصابة في الدماغ أو الحبل النخاعي</w:t>
      </w:r>
    </w:p>
    <w:p w:rsidR="00A24D61" w:rsidRPr="00A24D61" w:rsidRDefault="00A24D61" w:rsidP="007D636F">
      <w:pPr>
        <w:numPr>
          <w:ilvl w:val="0"/>
          <w:numId w:val="10"/>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تضخُّم الغدة الكظرية الخلقي</w:t>
      </w:r>
    </w:p>
    <w:p w:rsidR="007D636F" w:rsidRPr="007D636F" w:rsidRDefault="007D636F" w:rsidP="00A24D61">
      <w:pPr>
        <w:numPr>
          <w:ilvl w:val="0"/>
          <w:numId w:val="10"/>
        </w:numPr>
        <w:shd w:val="clear" w:color="auto" w:fill="FFFFFF"/>
        <w:bidi/>
        <w:spacing w:before="100" w:beforeAutospacing="1" w:after="360" w:line="240" w:lineRule="auto"/>
        <w:ind w:left="540"/>
        <w:outlineLvl w:val="2"/>
        <w:rPr>
          <w:rFonts w:ascii="Helvetica" w:eastAsia="Times New Roman" w:hAnsi="Helvetica" w:cs="Helvetica"/>
          <w:b/>
          <w:bCs/>
          <w:color w:val="111111"/>
          <w:sz w:val="32"/>
          <w:szCs w:val="32"/>
        </w:rPr>
      </w:pPr>
      <w:r>
        <w:rPr>
          <w:rFonts w:ascii="Helvetica" w:eastAsia="Times New Roman" w:hAnsi="Helvetica" w:cs="Helvetica"/>
          <w:color w:val="111111"/>
          <w:sz w:val="24"/>
          <w:szCs w:val="24"/>
          <w:rtl/>
        </w:rPr>
        <w:t xml:space="preserve">قصور الدرقية </w:t>
      </w:r>
    </w:p>
    <w:p w:rsidR="00A24D61" w:rsidRPr="00A24D61" w:rsidRDefault="00A24D61" w:rsidP="007D636F">
      <w:pPr>
        <w:shd w:val="clear" w:color="auto" w:fill="FFFFFF"/>
        <w:bidi/>
        <w:spacing w:before="100" w:beforeAutospacing="1" w:after="360" w:line="240" w:lineRule="auto"/>
        <w:ind w:left="180"/>
        <w:outlineLvl w:val="2"/>
        <w:rPr>
          <w:rFonts w:ascii="Helvetica" w:eastAsia="Times New Roman" w:hAnsi="Helvetica" w:cs="Helvetica"/>
          <w:b/>
          <w:bCs/>
          <w:color w:val="111111"/>
          <w:sz w:val="32"/>
          <w:szCs w:val="32"/>
          <w:rtl/>
        </w:rPr>
      </w:pPr>
      <w:r w:rsidRPr="00A24D61">
        <w:rPr>
          <w:rFonts w:ascii="Helvetica" w:eastAsia="Times New Roman" w:hAnsi="Helvetica" w:cs="Helvetica"/>
          <w:b/>
          <w:bCs/>
          <w:color w:val="111111"/>
          <w:sz w:val="32"/>
          <w:szCs w:val="32"/>
          <w:rtl/>
        </w:rPr>
        <w:t>البلوغ المبكر المحيطي</w:t>
      </w:r>
    </w:p>
    <w:p w:rsidR="00A24D61" w:rsidRPr="00A24D61" w:rsidRDefault="00A24D61" w:rsidP="00A24D61">
      <w:pPr>
        <w:shd w:val="clear" w:color="auto" w:fill="FFFFFF"/>
        <w:bidi/>
        <w:spacing w:after="360" w:line="360" w:lineRule="atLeast"/>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يؤدي هرمون الإستروجين أو التستوستيرون الموجود في جسم الطفل إلى هذا النوع من البلوغ المبكر.</w:t>
      </w:r>
    </w:p>
    <w:p w:rsidR="00A24D61" w:rsidRPr="00A24D61" w:rsidRDefault="00A24D61" w:rsidP="00A24D61">
      <w:pPr>
        <w:shd w:val="clear" w:color="auto" w:fill="FFFFFF"/>
        <w:bidi/>
        <w:spacing w:after="360" w:line="360" w:lineRule="atLeast"/>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قد يؤدي ما يلي إلى البلوغ المبكر المحيطي:</w:t>
      </w:r>
    </w:p>
    <w:p w:rsidR="00A24D61" w:rsidRPr="00A24D61" w:rsidRDefault="00A24D61" w:rsidP="00A24D61">
      <w:pPr>
        <w:numPr>
          <w:ilvl w:val="0"/>
          <w:numId w:val="11"/>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ورم في الغدد الكظرية أو في الغدة النخامية التي تفرز هرمون الإستروجين أو هرمون التستوستيرون</w:t>
      </w:r>
    </w:p>
    <w:p w:rsidR="00A24D61" w:rsidRPr="00A24D61" w:rsidRDefault="00A24D61" w:rsidP="00A24D61">
      <w:pPr>
        <w:numPr>
          <w:ilvl w:val="0"/>
          <w:numId w:val="11"/>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متلازمة ماكيون أولبرايت، وهي اضطراب وراثي نادر يؤثر على لون الجلد والعظام ويسبب مشكلات هرمونية</w:t>
      </w:r>
    </w:p>
    <w:p w:rsidR="00A24D61" w:rsidRPr="00A24D61" w:rsidRDefault="00A24D61" w:rsidP="00A24D61">
      <w:pPr>
        <w:numPr>
          <w:ilvl w:val="0"/>
          <w:numId w:val="11"/>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التعرض لمصادر خارجية لهرمون الإستروجين أو هرمون التستوستيرون، مثل الكريمات أو المراهم</w:t>
      </w:r>
    </w:p>
    <w:p w:rsidR="00A24D61" w:rsidRPr="00A24D61" w:rsidRDefault="00A24D61" w:rsidP="00A24D61">
      <w:pPr>
        <w:shd w:val="clear" w:color="auto" w:fill="FFFFFF"/>
        <w:bidi/>
        <w:spacing w:after="360" w:line="240" w:lineRule="auto"/>
        <w:outlineLvl w:val="1"/>
        <w:rPr>
          <w:rFonts w:ascii="Helvetica" w:eastAsia="Times New Roman" w:hAnsi="Helvetica" w:cs="Helvetica"/>
          <w:color w:val="111111"/>
          <w:sz w:val="39"/>
          <w:szCs w:val="39"/>
          <w:rtl/>
        </w:rPr>
      </w:pPr>
      <w:r w:rsidRPr="00A24D61">
        <w:rPr>
          <w:rFonts w:ascii="Helvetica" w:eastAsia="Times New Roman" w:hAnsi="Helvetica" w:cs="Helvetica"/>
          <w:color w:val="111111"/>
          <w:sz w:val="39"/>
          <w:szCs w:val="39"/>
          <w:rtl/>
        </w:rPr>
        <w:t>عوامل الخطر</w:t>
      </w:r>
    </w:p>
    <w:p w:rsidR="00A24D61" w:rsidRPr="00A24D61" w:rsidRDefault="00A24D61" w:rsidP="00A24D61">
      <w:pPr>
        <w:shd w:val="clear" w:color="auto" w:fill="FFFFFF"/>
        <w:bidi/>
        <w:spacing w:after="360" w:line="360" w:lineRule="atLeast"/>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تشمل العوامل التي قد تزيد من خطر البلوغ المبكر عند الطفل:</w:t>
      </w:r>
    </w:p>
    <w:p w:rsidR="00A24D61" w:rsidRPr="00A24D61" w:rsidRDefault="008C3066" w:rsidP="00A24D61">
      <w:pPr>
        <w:numPr>
          <w:ilvl w:val="0"/>
          <w:numId w:val="14"/>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Pr>
          <w:rFonts w:ascii="Helvetica" w:eastAsia="Times New Roman" w:hAnsi="Helvetica" w:cs="Helvetica" w:hint="cs"/>
          <w:b/>
          <w:bCs/>
          <w:color w:val="111111"/>
          <w:sz w:val="24"/>
          <w:szCs w:val="24"/>
          <w:rtl/>
        </w:rPr>
        <w:t>نسبة حدوث المرض في الفتيات اكثر من الفتيان</w:t>
      </w:r>
      <w:r w:rsidR="00A24D61" w:rsidRPr="00A24D61">
        <w:rPr>
          <w:rFonts w:ascii="Helvetica" w:eastAsia="Times New Roman" w:hAnsi="Helvetica" w:cs="Helvetica"/>
          <w:color w:val="111111"/>
          <w:sz w:val="24"/>
          <w:szCs w:val="24"/>
          <w:rtl/>
        </w:rPr>
        <w:t>.</w:t>
      </w:r>
    </w:p>
    <w:p w:rsidR="00A24D61" w:rsidRPr="00A24D61" w:rsidRDefault="00A24D61" w:rsidP="00A24D61">
      <w:pPr>
        <w:numPr>
          <w:ilvl w:val="0"/>
          <w:numId w:val="14"/>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A24D61">
        <w:rPr>
          <w:rFonts w:ascii="Helvetica" w:eastAsia="Times New Roman" w:hAnsi="Helvetica" w:cs="Helvetica"/>
          <w:b/>
          <w:bCs/>
          <w:color w:val="111111"/>
          <w:sz w:val="24"/>
          <w:szCs w:val="24"/>
          <w:rtl/>
        </w:rPr>
        <w:t>أن تكون بدينًا.</w:t>
      </w:r>
      <w:r w:rsidRPr="00A24D61">
        <w:rPr>
          <w:rFonts w:ascii="Helvetica" w:eastAsia="Times New Roman" w:hAnsi="Helvetica" w:cs="Helvetica"/>
          <w:color w:val="111111"/>
          <w:sz w:val="24"/>
          <w:szCs w:val="24"/>
          <w:rtl/>
        </w:rPr>
        <w:t> الأطفال الذين يعانون زيادة الوزن بشكل ملحوظ يعانون من خطر أكبر يتمثل في تطور حالة البلوغ المبكر.</w:t>
      </w:r>
    </w:p>
    <w:p w:rsidR="00A24D61" w:rsidRPr="00A24D61" w:rsidRDefault="00A24D61" w:rsidP="00A24D61">
      <w:pPr>
        <w:numPr>
          <w:ilvl w:val="0"/>
          <w:numId w:val="14"/>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A24D61">
        <w:rPr>
          <w:rFonts w:ascii="Helvetica" w:eastAsia="Times New Roman" w:hAnsi="Helvetica" w:cs="Helvetica"/>
          <w:b/>
          <w:bCs/>
          <w:color w:val="111111"/>
          <w:sz w:val="24"/>
          <w:szCs w:val="24"/>
          <w:rtl/>
        </w:rPr>
        <w:t>التعرض لهرمونات جنسية.</w:t>
      </w:r>
      <w:r w:rsidRPr="00A24D61">
        <w:rPr>
          <w:rFonts w:ascii="Helvetica" w:eastAsia="Times New Roman" w:hAnsi="Helvetica" w:cs="Helvetica"/>
          <w:color w:val="111111"/>
          <w:sz w:val="24"/>
          <w:szCs w:val="24"/>
          <w:rtl/>
        </w:rPr>
        <w:t> تؤدي ملامسة أحد كريمات أو مراهم الإستروجين، والتستوستيرون، أو أي مواد أخرى تحتوي على هذه الهرمونات (مثل علاج طبي أو مكمل غذائي خاص بأحد البالغين) إلى زيادة خطر تطور البلوغ المبكر عند طفلك.</w:t>
      </w:r>
    </w:p>
    <w:p w:rsidR="00A24D61" w:rsidRPr="00A24D61" w:rsidRDefault="00A24D61" w:rsidP="00A24D61">
      <w:pPr>
        <w:numPr>
          <w:ilvl w:val="0"/>
          <w:numId w:val="14"/>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A24D61">
        <w:rPr>
          <w:rFonts w:ascii="Helvetica" w:eastAsia="Times New Roman" w:hAnsi="Helvetica" w:cs="Helvetica"/>
          <w:b/>
          <w:bCs/>
          <w:color w:val="111111"/>
          <w:sz w:val="24"/>
          <w:szCs w:val="24"/>
          <w:rtl/>
        </w:rPr>
        <w:lastRenderedPageBreak/>
        <w:t>حالات مرضية أخرى.</w:t>
      </w:r>
      <w:r w:rsidRPr="00A24D61">
        <w:rPr>
          <w:rFonts w:ascii="Helvetica" w:eastAsia="Times New Roman" w:hAnsi="Helvetica" w:cs="Helvetica"/>
          <w:color w:val="111111"/>
          <w:sz w:val="24"/>
          <w:szCs w:val="24"/>
          <w:rtl/>
        </w:rPr>
        <w:t> البلوغ المبكر قد يكون أحد مضاعفات متلازمة "ماكيون ألبرايت"، أو فرط التنسُّج الكظري الخلقي، حالات تتضمن إنتاج غير طبيعي لهرمونات الذكورة (الأندروجينات). في حالات نادرة، فإن البلوغ المبكر قد يصاحبه أيضًا قصور الدرقية.</w:t>
      </w:r>
    </w:p>
    <w:p w:rsidR="00A24D61" w:rsidRPr="00A24D61" w:rsidRDefault="00A24D61" w:rsidP="00D5507B">
      <w:pPr>
        <w:numPr>
          <w:ilvl w:val="0"/>
          <w:numId w:val="14"/>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A24D61">
        <w:rPr>
          <w:rFonts w:ascii="Helvetica" w:eastAsia="Times New Roman" w:hAnsi="Helvetica" w:cs="Helvetica"/>
          <w:b/>
          <w:bCs/>
          <w:color w:val="111111"/>
          <w:sz w:val="24"/>
          <w:szCs w:val="24"/>
          <w:rtl/>
        </w:rPr>
        <w:t>تلقي علاجًا إشعاعيًّا موجهًا إلى النظام العصبي المركزي.</w:t>
      </w:r>
    </w:p>
    <w:p w:rsidR="00A24D61" w:rsidRPr="00A24D61" w:rsidRDefault="00A24D61" w:rsidP="00A24D61">
      <w:pPr>
        <w:shd w:val="clear" w:color="auto" w:fill="FFFFFF"/>
        <w:bidi/>
        <w:spacing w:after="360" w:line="240" w:lineRule="auto"/>
        <w:outlineLvl w:val="1"/>
        <w:rPr>
          <w:rFonts w:ascii="Helvetica" w:eastAsia="Times New Roman" w:hAnsi="Helvetica" w:cs="Helvetica"/>
          <w:color w:val="111111"/>
          <w:sz w:val="39"/>
          <w:szCs w:val="39"/>
          <w:rtl/>
        </w:rPr>
      </w:pPr>
      <w:r w:rsidRPr="00A24D61">
        <w:rPr>
          <w:rFonts w:ascii="Helvetica" w:eastAsia="Times New Roman" w:hAnsi="Helvetica" w:cs="Helvetica"/>
          <w:color w:val="111111"/>
          <w:sz w:val="39"/>
          <w:szCs w:val="39"/>
          <w:rtl/>
        </w:rPr>
        <w:t>الوقاية</w:t>
      </w:r>
    </w:p>
    <w:p w:rsidR="00A24D61" w:rsidRPr="00A24D61" w:rsidRDefault="00A24D61" w:rsidP="00A24D61">
      <w:pPr>
        <w:shd w:val="clear" w:color="auto" w:fill="FFFFFF"/>
        <w:bidi/>
        <w:spacing w:after="360" w:line="360" w:lineRule="atLeast"/>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لا يمكن تجنب بعض عوامل الخطورة المتعلقة بالبلوغ المبكر، كالجنس والعرق. بيد أن هناك أشياء يمكنك القيام بها لتقليل فرص إصابة طفلك بالبلوغ المبكر، ومن ضمنها:</w:t>
      </w:r>
    </w:p>
    <w:p w:rsidR="00A24D61" w:rsidRPr="00A24D61" w:rsidRDefault="00A24D61" w:rsidP="00A24D61">
      <w:pPr>
        <w:numPr>
          <w:ilvl w:val="0"/>
          <w:numId w:val="16"/>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إبعاد طفلك عن المصادر الخارجية للإستروجين والتستوستيرون، مثل الأدوية التي تُصرف بوصفة طبية للبالغين في المنزل أو المكملات الغذائية التي تحتوي على الإستروجين أو التستوستيرون</w:t>
      </w:r>
    </w:p>
    <w:p w:rsidR="00A24D61" w:rsidRPr="00A24D61" w:rsidRDefault="00A24D61" w:rsidP="00A24D61">
      <w:pPr>
        <w:numPr>
          <w:ilvl w:val="0"/>
          <w:numId w:val="16"/>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A24D61">
        <w:rPr>
          <w:rFonts w:ascii="Helvetica" w:eastAsia="Times New Roman" w:hAnsi="Helvetica" w:cs="Helvetica"/>
          <w:color w:val="111111"/>
          <w:sz w:val="24"/>
          <w:szCs w:val="24"/>
          <w:rtl/>
        </w:rPr>
        <w:t>تشجيع طفلك على الحفاظ على وزن صحي</w:t>
      </w:r>
    </w:p>
    <w:p w:rsidR="008531C7" w:rsidRDefault="00FD51D9" w:rsidP="00A24D61">
      <w:pPr>
        <w:shd w:val="clear" w:color="auto" w:fill="FFFFFF"/>
        <w:bidi/>
        <w:spacing w:after="360" w:line="240" w:lineRule="auto"/>
        <w:outlineLvl w:val="2"/>
      </w:pPr>
      <w:r>
        <w:rPr>
          <w:noProof/>
        </w:rPr>
        <w:drawing>
          <wp:inline distT="0" distB="0" distL="0" distR="0" wp14:anchorId="759779A7" wp14:editId="0BBDF06B">
            <wp:extent cx="5486400" cy="3090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86400" cy="3090545"/>
                    </a:xfrm>
                    <a:prstGeom prst="rect">
                      <a:avLst/>
                    </a:prstGeom>
                  </pic:spPr>
                </pic:pic>
              </a:graphicData>
            </a:graphic>
          </wp:inline>
        </w:drawing>
      </w:r>
      <w:bookmarkStart w:id="0" w:name="_GoBack"/>
      <w:bookmarkEnd w:id="0"/>
    </w:p>
    <w:sectPr w:rsidR="008531C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EB7"/>
    <w:multiLevelType w:val="multilevel"/>
    <w:tmpl w:val="5388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1FD"/>
    <w:multiLevelType w:val="multilevel"/>
    <w:tmpl w:val="A37C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0420D"/>
    <w:multiLevelType w:val="multilevel"/>
    <w:tmpl w:val="834C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B39C8"/>
    <w:multiLevelType w:val="multilevel"/>
    <w:tmpl w:val="F33E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D73BE1"/>
    <w:multiLevelType w:val="multilevel"/>
    <w:tmpl w:val="A8E6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A15F9C"/>
    <w:multiLevelType w:val="multilevel"/>
    <w:tmpl w:val="4042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D3AC5"/>
    <w:multiLevelType w:val="multilevel"/>
    <w:tmpl w:val="92AA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5D0DEA"/>
    <w:multiLevelType w:val="multilevel"/>
    <w:tmpl w:val="1846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345944"/>
    <w:multiLevelType w:val="multilevel"/>
    <w:tmpl w:val="B32A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A42AAF"/>
    <w:multiLevelType w:val="multilevel"/>
    <w:tmpl w:val="63B2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E44506"/>
    <w:multiLevelType w:val="multilevel"/>
    <w:tmpl w:val="63F0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8C6B35"/>
    <w:multiLevelType w:val="multilevel"/>
    <w:tmpl w:val="62BC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8D7AB8"/>
    <w:multiLevelType w:val="multilevel"/>
    <w:tmpl w:val="808C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56089F"/>
    <w:multiLevelType w:val="multilevel"/>
    <w:tmpl w:val="D00E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B76615"/>
    <w:multiLevelType w:val="multilevel"/>
    <w:tmpl w:val="F674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0323DB"/>
    <w:multiLevelType w:val="multilevel"/>
    <w:tmpl w:val="5CBC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3"/>
  </w:num>
  <w:num w:numId="4">
    <w:abstractNumId w:val="6"/>
  </w:num>
  <w:num w:numId="5">
    <w:abstractNumId w:val="15"/>
  </w:num>
  <w:num w:numId="6">
    <w:abstractNumId w:val="9"/>
  </w:num>
  <w:num w:numId="7">
    <w:abstractNumId w:val="10"/>
  </w:num>
  <w:num w:numId="8">
    <w:abstractNumId w:val="1"/>
  </w:num>
  <w:num w:numId="9">
    <w:abstractNumId w:val="2"/>
  </w:num>
  <w:num w:numId="10">
    <w:abstractNumId w:val="11"/>
  </w:num>
  <w:num w:numId="11">
    <w:abstractNumId w:val="3"/>
  </w:num>
  <w:num w:numId="12">
    <w:abstractNumId w:val="5"/>
  </w:num>
  <w:num w:numId="13">
    <w:abstractNumId w:val="12"/>
  </w:num>
  <w:num w:numId="14">
    <w:abstractNumId w:val="8"/>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E5"/>
    <w:rsid w:val="00124639"/>
    <w:rsid w:val="00180589"/>
    <w:rsid w:val="001E50D6"/>
    <w:rsid w:val="00251120"/>
    <w:rsid w:val="002641C2"/>
    <w:rsid w:val="00453384"/>
    <w:rsid w:val="0063217C"/>
    <w:rsid w:val="00644A0F"/>
    <w:rsid w:val="007D636F"/>
    <w:rsid w:val="008531C7"/>
    <w:rsid w:val="008C3066"/>
    <w:rsid w:val="00950002"/>
    <w:rsid w:val="00A24D61"/>
    <w:rsid w:val="00B937EE"/>
    <w:rsid w:val="00BC3AFA"/>
    <w:rsid w:val="00CC1841"/>
    <w:rsid w:val="00D33DE5"/>
    <w:rsid w:val="00D5507B"/>
    <w:rsid w:val="00ED72EE"/>
    <w:rsid w:val="00F33202"/>
    <w:rsid w:val="00F65C91"/>
    <w:rsid w:val="00FD51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65C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5C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5C9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5C9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65C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5C91"/>
    <w:rPr>
      <w:color w:val="0000FF"/>
      <w:u w:val="single"/>
    </w:rPr>
  </w:style>
  <w:style w:type="character" w:styleId="Strong">
    <w:name w:val="Strong"/>
    <w:basedOn w:val="DefaultParagraphFont"/>
    <w:uiPriority w:val="22"/>
    <w:qFormat/>
    <w:rsid w:val="00F65C91"/>
    <w:rPr>
      <w:b/>
      <w:bCs/>
    </w:rPr>
  </w:style>
  <w:style w:type="paragraph" w:styleId="BalloonText">
    <w:name w:val="Balloon Text"/>
    <w:basedOn w:val="Normal"/>
    <w:link w:val="BalloonTextChar"/>
    <w:uiPriority w:val="99"/>
    <w:semiHidden/>
    <w:unhideWhenUsed/>
    <w:rsid w:val="00FD5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1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65C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5C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5C9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5C9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65C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5C91"/>
    <w:rPr>
      <w:color w:val="0000FF"/>
      <w:u w:val="single"/>
    </w:rPr>
  </w:style>
  <w:style w:type="character" w:styleId="Strong">
    <w:name w:val="Strong"/>
    <w:basedOn w:val="DefaultParagraphFont"/>
    <w:uiPriority w:val="22"/>
    <w:qFormat/>
    <w:rsid w:val="00F65C91"/>
    <w:rPr>
      <w:b/>
      <w:bCs/>
    </w:rPr>
  </w:style>
  <w:style w:type="paragraph" w:styleId="BalloonText">
    <w:name w:val="Balloon Text"/>
    <w:basedOn w:val="Normal"/>
    <w:link w:val="BalloonTextChar"/>
    <w:uiPriority w:val="99"/>
    <w:semiHidden/>
    <w:unhideWhenUsed/>
    <w:rsid w:val="00FD5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57434">
      <w:bodyDiv w:val="1"/>
      <w:marLeft w:val="0"/>
      <w:marRight w:val="0"/>
      <w:marTop w:val="0"/>
      <w:marBottom w:val="0"/>
      <w:divBdr>
        <w:top w:val="none" w:sz="0" w:space="0" w:color="auto"/>
        <w:left w:val="none" w:sz="0" w:space="0" w:color="auto"/>
        <w:bottom w:val="none" w:sz="0" w:space="0" w:color="auto"/>
        <w:right w:val="none" w:sz="0" w:space="0" w:color="auto"/>
      </w:divBdr>
    </w:div>
    <w:div w:id="1805191920">
      <w:bodyDiv w:val="1"/>
      <w:marLeft w:val="0"/>
      <w:marRight w:val="0"/>
      <w:marTop w:val="0"/>
      <w:marBottom w:val="0"/>
      <w:divBdr>
        <w:top w:val="none" w:sz="0" w:space="0" w:color="auto"/>
        <w:left w:val="none" w:sz="0" w:space="0" w:color="auto"/>
        <w:bottom w:val="none" w:sz="0" w:space="0" w:color="auto"/>
        <w:right w:val="none" w:sz="0" w:space="0" w:color="auto"/>
      </w:divBdr>
      <w:divsChild>
        <w:div w:id="514459188">
          <w:marLeft w:val="0"/>
          <w:marRight w:val="0"/>
          <w:marTop w:val="0"/>
          <w:marBottom w:val="750"/>
          <w:divBdr>
            <w:top w:val="none" w:sz="0" w:space="0" w:color="auto"/>
            <w:left w:val="none" w:sz="0" w:space="0" w:color="auto"/>
            <w:bottom w:val="none" w:sz="0" w:space="0" w:color="auto"/>
            <w:right w:val="none" w:sz="0" w:space="0" w:color="auto"/>
          </w:divBdr>
          <w:divsChild>
            <w:div w:id="226115669">
              <w:marLeft w:val="0"/>
              <w:marRight w:val="0"/>
              <w:marTop w:val="0"/>
              <w:marBottom w:val="0"/>
              <w:divBdr>
                <w:top w:val="none" w:sz="0" w:space="0" w:color="auto"/>
                <w:left w:val="none" w:sz="0" w:space="0" w:color="auto"/>
                <w:bottom w:val="none" w:sz="0" w:space="0" w:color="auto"/>
                <w:right w:val="none" w:sz="0" w:space="0" w:color="auto"/>
              </w:divBdr>
            </w:div>
          </w:divsChild>
        </w:div>
        <w:div w:id="671376237">
          <w:marLeft w:val="0"/>
          <w:marRight w:val="0"/>
          <w:marTop w:val="360"/>
          <w:marBottom w:val="720"/>
          <w:divBdr>
            <w:top w:val="none" w:sz="0" w:space="0" w:color="auto"/>
            <w:left w:val="none" w:sz="0" w:space="0" w:color="auto"/>
            <w:bottom w:val="none" w:sz="0" w:space="0" w:color="auto"/>
            <w:right w:val="none" w:sz="0" w:space="0" w:color="auto"/>
          </w:divBdr>
        </w:div>
      </w:divsChild>
    </w:div>
    <w:div w:id="186451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By DR.Ahmed 2015</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zozo</dc:creator>
  <cp:lastModifiedBy>zozo</cp:lastModifiedBy>
  <cp:revision>8</cp:revision>
  <cp:lastPrinted>2023-01-29T17:05:00Z</cp:lastPrinted>
  <dcterms:created xsi:type="dcterms:W3CDTF">2023-01-24T17:51:00Z</dcterms:created>
  <dcterms:modified xsi:type="dcterms:W3CDTF">2023-01-29T17:06:00Z</dcterms:modified>
</cp:coreProperties>
</file>