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5C" w:rsidRDefault="00535E5C" w:rsidP="00535E5C">
      <w:pPr>
        <w:jc w:val="right"/>
        <w:rPr>
          <w:rFonts w:cs="Arial"/>
          <w:b/>
          <w:bCs/>
          <w:sz w:val="36"/>
          <w:szCs w:val="36"/>
          <w:rtl/>
          <w:lang w:bidi="ar-IQ"/>
        </w:rPr>
      </w:pPr>
    </w:p>
    <w:p w:rsidR="00D05626" w:rsidRPr="00D05626" w:rsidRDefault="00D05626" w:rsidP="00535E5C">
      <w:pPr>
        <w:rPr>
          <w:rFonts w:cs="Arial"/>
          <w:b/>
          <w:bCs/>
          <w:sz w:val="36"/>
          <w:szCs w:val="36"/>
          <w:rtl/>
          <w:lang w:bidi="ar-IQ"/>
        </w:rPr>
      </w:pPr>
      <w:r w:rsidRPr="00D05626">
        <w:rPr>
          <w:rFonts w:cs="Arial" w:hint="cs"/>
          <w:b/>
          <w:bCs/>
          <w:sz w:val="36"/>
          <w:szCs w:val="36"/>
          <w:rtl/>
          <w:lang w:bidi="ar-IQ"/>
        </w:rPr>
        <w:t xml:space="preserve">الإرشادات </w:t>
      </w:r>
      <w:proofErr w:type="spellStart"/>
      <w:r w:rsidRPr="00D05626">
        <w:rPr>
          <w:rFonts w:cs="Arial" w:hint="cs"/>
          <w:b/>
          <w:bCs/>
          <w:sz w:val="36"/>
          <w:szCs w:val="36"/>
          <w:rtl/>
          <w:lang w:bidi="ar-IQ"/>
        </w:rPr>
        <w:t>السريرية</w:t>
      </w:r>
      <w:proofErr w:type="spellEnd"/>
      <w:r w:rsidRPr="00D05626">
        <w:rPr>
          <w:rFonts w:cs="Arial" w:hint="cs"/>
          <w:b/>
          <w:bCs/>
          <w:sz w:val="36"/>
          <w:szCs w:val="36"/>
          <w:rtl/>
          <w:lang w:bidi="ar-IQ"/>
        </w:rPr>
        <w:t xml:space="preserve"> لتوعية المقبلين على الزواج</w:t>
      </w:r>
    </w:p>
    <w:p w:rsidR="00AC15FD" w:rsidRPr="00535E5C" w:rsidRDefault="00D05626" w:rsidP="007E77D5">
      <w:pPr>
        <w:rPr>
          <w:rFonts w:cs="Arial"/>
          <w:sz w:val="20"/>
          <w:szCs w:val="20"/>
          <w:rtl/>
          <w:lang w:bidi="ar-IQ"/>
        </w:rPr>
      </w:pPr>
      <w:r>
        <w:rPr>
          <w:rFonts w:cs="Arial" w:hint="cs"/>
          <w:rtl/>
          <w:lang w:bidi="ar-IQ"/>
        </w:rPr>
        <w:t xml:space="preserve"> </w:t>
      </w:r>
      <w:r w:rsidR="00D42AC3" w:rsidRPr="00535E5C">
        <w:rPr>
          <w:rFonts w:cs="Arial" w:hint="cs"/>
          <w:sz w:val="20"/>
          <w:szCs w:val="20"/>
          <w:rtl/>
          <w:lang w:bidi="ar-IQ"/>
        </w:rPr>
        <w:t xml:space="preserve">تعتبر توعيه المقبلين على الزواج أحدى وسائل النصح والإرشاد </w:t>
      </w:r>
      <w:r w:rsidR="007E77D5" w:rsidRPr="00535E5C">
        <w:rPr>
          <w:rFonts w:cs="Arial" w:hint="cs"/>
          <w:sz w:val="20"/>
          <w:szCs w:val="20"/>
          <w:rtl/>
          <w:lang w:bidi="ar-IQ"/>
        </w:rPr>
        <w:t>المقدمة للمقبلين على الزواج لتوسعة مداركهم وزيادة فرص الاختيار أمامهم فضلا عن تحسين نوعية حياتهم.</w:t>
      </w:r>
      <w:r w:rsidR="00D42AC3" w:rsidRPr="00535E5C">
        <w:rPr>
          <w:rFonts w:cs="Arial" w:hint="cs"/>
          <w:sz w:val="20"/>
          <w:szCs w:val="20"/>
          <w:rtl/>
          <w:lang w:bidi="ar-IQ"/>
        </w:rPr>
        <w:t xml:space="preserve"> </w:t>
      </w:r>
    </w:p>
    <w:p w:rsidR="00AC15FD" w:rsidRPr="00535E5C" w:rsidRDefault="00AC15FD" w:rsidP="00AC15FD">
      <w:pPr>
        <w:rPr>
          <w:rFonts w:cs="Arial"/>
          <w:sz w:val="20"/>
          <w:szCs w:val="20"/>
          <w:rtl/>
          <w:lang w:bidi="ar-IQ"/>
        </w:rPr>
      </w:pPr>
      <w:r w:rsidRPr="00535E5C">
        <w:rPr>
          <w:rFonts w:cs="Arial" w:hint="cs"/>
          <w:sz w:val="20"/>
          <w:szCs w:val="20"/>
          <w:rtl/>
          <w:lang w:bidi="ar-IQ"/>
        </w:rPr>
        <w:t>وتعتمد هذه الخدمة على مهارات التواصل والإقناع لتعزيز القدرة على الاختيار بعد الحصول على المعلومات الضرورية وطرح الاستفسارات دون إجبار حيث يكون الأشخاص الراغبون في الزواج هم متخذي القرار.</w:t>
      </w:r>
    </w:p>
    <w:p w:rsidR="00AC15FD" w:rsidRPr="00535E5C" w:rsidRDefault="00AC15FD" w:rsidP="007E77D5">
      <w:pPr>
        <w:rPr>
          <w:rFonts w:cs="Arial"/>
          <w:sz w:val="20"/>
          <w:szCs w:val="20"/>
          <w:rtl/>
          <w:lang w:bidi="ar-IQ"/>
        </w:rPr>
      </w:pPr>
      <w:r w:rsidRPr="00535E5C">
        <w:rPr>
          <w:rFonts w:cs="Arial" w:hint="cs"/>
          <w:sz w:val="20"/>
          <w:szCs w:val="20"/>
          <w:rtl/>
          <w:lang w:bidi="ar-IQ"/>
        </w:rPr>
        <w:t xml:space="preserve">الهدف من توعيه المقبلين على الزواج تقديم تقييم أساسي للمقبلين على الزواج وزيادة مستوى الصحة التي يتمتعون </w:t>
      </w:r>
      <w:proofErr w:type="spellStart"/>
      <w:r w:rsidRPr="00535E5C">
        <w:rPr>
          <w:rFonts w:cs="Arial" w:hint="cs"/>
          <w:sz w:val="20"/>
          <w:szCs w:val="20"/>
          <w:rtl/>
          <w:lang w:bidi="ar-IQ"/>
        </w:rPr>
        <w:t>بها</w:t>
      </w:r>
      <w:proofErr w:type="spellEnd"/>
      <w:r w:rsidRPr="00535E5C">
        <w:rPr>
          <w:rFonts w:cs="Arial" w:hint="cs"/>
          <w:sz w:val="20"/>
          <w:szCs w:val="20"/>
          <w:rtl/>
          <w:lang w:bidi="ar-IQ"/>
        </w:rPr>
        <w:t xml:space="preserve"> والتعرف على المخاطر الجينية الوراثية والحد منها.</w:t>
      </w:r>
    </w:p>
    <w:p w:rsidR="007452C5" w:rsidRPr="00535E5C" w:rsidRDefault="00AC15FD" w:rsidP="00F92B83">
      <w:pPr>
        <w:rPr>
          <w:rFonts w:cs="Arial"/>
          <w:sz w:val="20"/>
          <w:szCs w:val="20"/>
          <w:rtl/>
          <w:lang w:bidi="ar-IQ"/>
        </w:rPr>
      </w:pPr>
      <w:r w:rsidRPr="00535E5C">
        <w:rPr>
          <w:rFonts w:cs="Arial" w:hint="cs"/>
          <w:sz w:val="20"/>
          <w:szCs w:val="20"/>
          <w:rtl/>
          <w:lang w:bidi="ar-IQ"/>
        </w:rPr>
        <w:t>بدأت توعية المقبلين على الزواج في العراق منذ زمن بعيد ويتم تق</w:t>
      </w:r>
      <w:r w:rsidR="00D8471B" w:rsidRPr="00535E5C">
        <w:rPr>
          <w:rFonts w:cs="Arial" w:hint="cs"/>
          <w:sz w:val="20"/>
          <w:szCs w:val="20"/>
          <w:rtl/>
          <w:lang w:bidi="ar-IQ"/>
        </w:rPr>
        <w:t xml:space="preserve">ديم هذه الخدمة حاليا بالنسبة لمحافظة البصرة في عيادات فحص المقبلين على الزواج في المستشفيات </w:t>
      </w:r>
      <w:r w:rsidR="00711792" w:rsidRPr="00535E5C">
        <w:rPr>
          <w:rFonts w:cs="Arial" w:hint="cs"/>
          <w:sz w:val="20"/>
          <w:szCs w:val="20"/>
          <w:rtl/>
          <w:lang w:bidi="ar-IQ"/>
        </w:rPr>
        <w:t>التالية</w:t>
      </w:r>
      <w:r w:rsidR="00D8471B" w:rsidRPr="00535E5C">
        <w:rPr>
          <w:rFonts w:cs="Arial" w:hint="cs"/>
          <w:sz w:val="20"/>
          <w:szCs w:val="20"/>
          <w:rtl/>
          <w:lang w:bidi="ar-IQ"/>
        </w:rPr>
        <w:t xml:space="preserve"> (</w:t>
      </w:r>
      <w:proofErr w:type="spellStart"/>
      <w:r w:rsidR="00D8471B" w:rsidRPr="00535E5C">
        <w:rPr>
          <w:rFonts w:ascii="Arial" w:hAnsi="Arial" w:cs="Arial" w:hint="cs"/>
          <w:sz w:val="20"/>
          <w:szCs w:val="20"/>
          <w:rtl/>
        </w:rPr>
        <w:t>الموانيء</w:t>
      </w:r>
      <w:proofErr w:type="spellEnd"/>
      <w:r w:rsidR="00D8471B" w:rsidRPr="00535E5C">
        <w:rPr>
          <w:rFonts w:ascii="Arial" w:hAnsi="Arial" w:cs="Arial" w:hint="cs"/>
          <w:sz w:val="20"/>
          <w:szCs w:val="20"/>
          <w:rtl/>
        </w:rPr>
        <w:t xml:space="preserve"> التعليمي ,</w:t>
      </w:r>
      <w:proofErr w:type="spellStart"/>
      <w:r w:rsidR="00D8471B" w:rsidRPr="00535E5C">
        <w:rPr>
          <w:rFonts w:ascii="Arial" w:hAnsi="Arial" w:cs="Arial" w:hint="cs"/>
          <w:sz w:val="20"/>
          <w:szCs w:val="20"/>
          <w:rtl/>
        </w:rPr>
        <w:t>البصره</w:t>
      </w:r>
      <w:proofErr w:type="spellEnd"/>
      <w:r w:rsidR="00D8471B" w:rsidRPr="00535E5C">
        <w:rPr>
          <w:rFonts w:ascii="Arial" w:hAnsi="Arial" w:cs="Arial" w:hint="cs"/>
          <w:sz w:val="20"/>
          <w:szCs w:val="20"/>
          <w:rtl/>
        </w:rPr>
        <w:t xml:space="preserve"> التعليمي,الفيحاء التعليمي,</w:t>
      </w:r>
      <w:proofErr w:type="spellStart"/>
      <w:r w:rsidR="00D8471B" w:rsidRPr="00535E5C">
        <w:rPr>
          <w:rFonts w:ascii="Arial" w:hAnsi="Arial" w:cs="Arial" w:hint="cs"/>
          <w:sz w:val="20"/>
          <w:szCs w:val="20"/>
          <w:rtl/>
        </w:rPr>
        <w:t>القرنه</w:t>
      </w:r>
      <w:proofErr w:type="spellEnd"/>
      <w:r w:rsidR="00D8471B" w:rsidRPr="00535E5C">
        <w:rPr>
          <w:rFonts w:ascii="Arial" w:hAnsi="Arial" w:cs="Arial" w:hint="cs"/>
          <w:sz w:val="20"/>
          <w:szCs w:val="20"/>
          <w:rtl/>
        </w:rPr>
        <w:t xml:space="preserve"> العام,</w:t>
      </w:r>
      <w:proofErr w:type="spellStart"/>
      <w:r w:rsidR="00D8471B" w:rsidRPr="00535E5C">
        <w:rPr>
          <w:rFonts w:ascii="Arial" w:hAnsi="Arial" w:cs="Arial" w:hint="cs"/>
          <w:sz w:val="20"/>
          <w:szCs w:val="20"/>
          <w:rtl/>
        </w:rPr>
        <w:t>المدينه</w:t>
      </w:r>
      <w:proofErr w:type="spellEnd"/>
      <w:r w:rsidR="00D8471B" w:rsidRPr="00535E5C">
        <w:rPr>
          <w:rFonts w:ascii="Arial" w:hAnsi="Arial" w:cs="Arial" w:hint="cs"/>
          <w:sz w:val="20"/>
          <w:szCs w:val="20"/>
          <w:rtl/>
        </w:rPr>
        <w:t xml:space="preserve"> العام.الفاو العام,</w:t>
      </w:r>
      <w:proofErr w:type="spellStart"/>
      <w:r w:rsidR="00D8471B" w:rsidRPr="00535E5C">
        <w:rPr>
          <w:rFonts w:ascii="Arial" w:hAnsi="Arial" w:cs="Arial" w:hint="cs"/>
          <w:sz w:val="20"/>
          <w:szCs w:val="20"/>
          <w:rtl/>
        </w:rPr>
        <w:t>ابو</w:t>
      </w:r>
      <w:proofErr w:type="spellEnd"/>
      <w:r w:rsidR="00D8471B" w:rsidRPr="00535E5C">
        <w:rPr>
          <w:rFonts w:ascii="Arial" w:hAnsi="Arial" w:cs="Arial" w:hint="cs"/>
          <w:sz w:val="20"/>
          <w:szCs w:val="20"/>
          <w:rtl/>
        </w:rPr>
        <w:t xml:space="preserve"> الخصيب العام,</w:t>
      </w:r>
      <w:proofErr w:type="spellStart"/>
      <w:r w:rsidR="00D8471B" w:rsidRPr="00535E5C">
        <w:rPr>
          <w:rFonts w:ascii="Arial" w:hAnsi="Arial" w:cs="Arial" w:hint="cs"/>
          <w:sz w:val="20"/>
          <w:szCs w:val="20"/>
          <w:rtl/>
        </w:rPr>
        <w:t>ام</w:t>
      </w:r>
      <w:proofErr w:type="spellEnd"/>
      <w:r w:rsidR="00D8471B" w:rsidRPr="00535E5C">
        <w:rPr>
          <w:rFonts w:ascii="Arial" w:hAnsi="Arial" w:cs="Arial" w:hint="cs"/>
          <w:sz w:val="20"/>
          <w:szCs w:val="20"/>
          <w:rtl/>
        </w:rPr>
        <w:t xml:space="preserve"> قصر العام,الزبير العام</w:t>
      </w:r>
      <w:r w:rsidR="00711792" w:rsidRPr="00535E5C">
        <w:rPr>
          <w:rFonts w:cs="Arial" w:hint="cs"/>
          <w:sz w:val="20"/>
          <w:szCs w:val="20"/>
          <w:rtl/>
          <w:lang w:bidi="ar-IQ"/>
        </w:rPr>
        <w:t>) ويتولى تقديم هذه الخدمة مجموعة من الأطباء والكوادر الصحية والإدارية أو غيرهم</w:t>
      </w:r>
      <w:r w:rsidRPr="00535E5C">
        <w:rPr>
          <w:rFonts w:cs="Arial" w:hint="cs"/>
          <w:sz w:val="20"/>
          <w:szCs w:val="20"/>
          <w:rtl/>
          <w:lang w:bidi="ar-IQ"/>
        </w:rPr>
        <w:t xml:space="preserve"> </w:t>
      </w:r>
      <w:r w:rsidR="00711792" w:rsidRPr="00535E5C">
        <w:rPr>
          <w:rFonts w:cs="Arial" w:hint="cs"/>
          <w:sz w:val="20"/>
          <w:szCs w:val="20"/>
          <w:rtl/>
          <w:lang w:bidi="ar-IQ"/>
        </w:rPr>
        <w:t>من مزودي الخدمة.</w:t>
      </w:r>
    </w:p>
    <w:p w:rsidR="000444AF" w:rsidRPr="00535E5C" w:rsidRDefault="00F92B83" w:rsidP="00D8471B">
      <w:pPr>
        <w:rPr>
          <w:sz w:val="20"/>
          <w:szCs w:val="20"/>
          <w:rtl/>
          <w:lang w:bidi="ar-IQ"/>
        </w:rPr>
      </w:pPr>
      <w:r w:rsidRPr="00535E5C">
        <w:rPr>
          <w:rFonts w:cs="Arial" w:hint="cs"/>
          <w:sz w:val="20"/>
          <w:szCs w:val="20"/>
          <w:rtl/>
          <w:lang w:bidi="ar-IQ"/>
        </w:rPr>
        <w:t>تعمل توعية المقبلين على الزواج على تحديد الأزواج المعرضين لخطورة</w:t>
      </w:r>
      <w:r w:rsidRPr="00535E5C">
        <w:rPr>
          <w:rFonts w:hint="cs"/>
          <w:sz w:val="20"/>
          <w:szCs w:val="20"/>
          <w:rtl/>
          <w:lang w:bidi="ar-IQ"/>
        </w:rPr>
        <w:t xml:space="preserve"> </w:t>
      </w:r>
      <w:r w:rsidR="00F36557" w:rsidRPr="00535E5C">
        <w:rPr>
          <w:rFonts w:hint="cs"/>
          <w:sz w:val="20"/>
          <w:szCs w:val="20"/>
          <w:rtl/>
          <w:lang w:bidi="ar-IQ"/>
        </w:rPr>
        <w:t xml:space="preserve">بالغة عن طريق إخضاع جميع المقبلين على الزواج للفحص من خلال تناول التاريخ المرضي والفحص الطبي والفحوصات </w:t>
      </w:r>
      <w:proofErr w:type="spellStart"/>
      <w:r w:rsidR="00F36557" w:rsidRPr="00535E5C">
        <w:rPr>
          <w:rFonts w:hint="cs"/>
          <w:sz w:val="20"/>
          <w:szCs w:val="20"/>
          <w:rtl/>
          <w:lang w:bidi="ar-IQ"/>
        </w:rPr>
        <w:t>المختبرية</w:t>
      </w:r>
      <w:proofErr w:type="spellEnd"/>
      <w:r w:rsidR="00F36557" w:rsidRPr="00535E5C">
        <w:rPr>
          <w:rFonts w:hint="cs"/>
          <w:sz w:val="20"/>
          <w:szCs w:val="20"/>
          <w:rtl/>
          <w:lang w:bidi="ar-IQ"/>
        </w:rPr>
        <w:t xml:space="preserve"> وبناء عليه تقدم المشورة في صورة مزيد من الفحوصات أو المشورة </w:t>
      </w:r>
      <w:r w:rsidR="00F36557" w:rsidRPr="00535E5C">
        <w:rPr>
          <w:rFonts w:hint="eastAsia"/>
          <w:sz w:val="20"/>
          <w:szCs w:val="20"/>
          <w:rtl/>
          <w:lang w:bidi="ar-IQ"/>
        </w:rPr>
        <w:t>العلاجي</w:t>
      </w:r>
      <w:r w:rsidR="00F36557" w:rsidRPr="00535E5C">
        <w:rPr>
          <w:rFonts w:hint="cs"/>
          <w:sz w:val="20"/>
          <w:szCs w:val="20"/>
          <w:rtl/>
          <w:lang w:bidi="ar-IQ"/>
        </w:rPr>
        <w:t>ة</w:t>
      </w:r>
      <w:r w:rsidR="00F36557" w:rsidRPr="00535E5C">
        <w:rPr>
          <w:rFonts w:hint="eastAsia"/>
          <w:sz w:val="20"/>
          <w:szCs w:val="20"/>
          <w:rtl/>
          <w:lang w:bidi="ar-IQ"/>
        </w:rPr>
        <w:t xml:space="preserve"> </w:t>
      </w:r>
      <w:r w:rsidR="00F36557" w:rsidRPr="00535E5C">
        <w:rPr>
          <w:rFonts w:hint="cs"/>
          <w:sz w:val="20"/>
          <w:szCs w:val="20"/>
          <w:rtl/>
          <w:lang w:bidi="ar-IQ"/>
        </w:rPr>
        <w:t>أو التثقيف الصحي وتعزيز الصحة بالإضافة إلى تقديم التوعية المتعلقة بحالتهم الصحية.</w:t>
      </w:r>
    </w:p>
    <w:p w:rsidR="000444AF" w:rsidRPr="00535E5C" w:rsidRDefault="000444AF" w:rsidP="00D8471B">
      <w:pPr>
        <w:rPr>
          <w:sz w:val="20"/>
          <w:szCs w:val="20"/>
          <w:rtl/>
          <w:lang w:bidi="ar-IQ"/>
        </w:rPr>
      </w:pPr>
      <w:r w:rsidRPr="00535E5C">
        <w:rPr>
          <w:rFonts w:hint="cs"/>
          <w:sz w:val="20"/>
          <w:szCs w:val="20"/>
          <w:rtl/>
          <w:lang w:bidi="ar-IQ"/>
        </w:rPr>
        <w:t>الأهداف الرئيسية لخدمات المقبلين على الزواج</w:t>
      </w:r>
    </w:p>
    <w:p w:rsidR="000444AF" w:rsidRPr="00535E5C" w:rsidRDefault="000444AF" w:rsidP="000444AF">
      <w:pPr>
        <w:pStyle w:val="a3"/>
        <w:numPr>
          <w:ilvl w:val="0"/>
          <w:numId w:val="1"/>
        </w:numPr>
        <w:rPr>
          <w:sz w:val="20"/>
          <w:szCs w:val="20"/>
          <w:lang w:bidi="ar-IQ"/>
        </w:rPr>
      </w:pPr>
      <w:r w:rsidRPr="00535E5C">
        <w:rPr>
          <w:rFonts w:hint="cs"/>
          <w:sz w:val="20"/>
          <w:szCs w:val="20"/>
          <w:rtl/>
          <w:lang w:bidi="ar-IQ"/>
        </w:rPr>
        <w:t xml:space="preserve">الحد من حالات اعتلال </w:t>
      </w:r>
      <w:proofErr w:type="spellStart"/>
      <w:r w:rsidRPr="00535E5C">
        <w:rPr>
          <w:rFonts w:hint="cs"/>
          <w:sz w:val="20"/>
          <w:szCs w:val="20"/>
          <w:rtl/>
          <w:lang w:bidi="ar-IQ"/>
        </w:rPr>
        <w:t>الهيموغلوبين</w:t>
      </w:r>
      <w:proofErr w:type="spellEnd"/>
      <w:r w:rsidRPr="00535E5C">
        <w:rPr>
          <w:rFonts w:hint="cs"/>
          <w:sz w:val="20"/>
          <w:szCs w:val="20"/>
          <w:rtl/>
          <w:lang w:bidi="ar-IQ"/>
        </w:rPr>
        <w:t xml:space="preserve"> </w:t>
      </w:r>
      <w:r w:rsidR="000631D0" w:rsidRPr="00535E5C">
        <w:rPr>
          <w:rFonts w:hint="cs"/>
          <w:sz w:val="20"/>
          <w:szCs w:val="20"/>
          <w:rtl/>
          <w:lang w:bidi="ar-IQ"/>
        </w:rPr>
        <w:t>الشائعة</w:t>
      </w:r>
      <w:r w:rsidRPr="00535E5C">
        <w:rPr>
          <w:rFonts w:hint="cs"/>
          <w:sz w:val="20"/>
          <w:szCs w:val="20"/>
          <w:rtl/>
          <w:lang w:bidi="ar-IQ"/>
        </w:rPr>
        <w:t xml:space="preserve"> في العراق على سبيل المثال </w:t>
      </w:r>
      <w:proofErr w:type="spellStart"/>
      <w:r w:rsidR="000631D0" w:rsidRPr="00535E5C">
        <w:rPr>
          <w:rFonts w:hint="cs"/>
          <w:sz w:val="20"/>
          <w:szCs w:val="20"/>
          <w:rtl/>
          <w:lang w:bidi="ar-IQ"/>
        </w:rPr>
        <w:t>الثلاسيميا</w:t>
      </w:r>
      <w:proofErr w:type="spellEnd"/>
      <w:r w:rsidR="000631D0" w:rsidRPr="00535E5C">
        <w:rPr>
          <w:rFonts w:hint="cs"/>
          <w:sz w:val="20"/>
          <w:szCs w:val="20"/>
          <w:rtl/>
          <w:lang w:bidi="ar-IQ"/>
        </w:rPr>
        <w:t xml:space="preserve"> وفقر الدم </w:t>
      </w:r>
      <w:proofErr w:type="spellStart"/>
      <w:r w:rsidR="000631D0" w:rsidRPr="00535E5C">
        <w:rPr>
          <w:rFonts w:hint="cs"/>
          <w:sz w:val="20"/>
          <w:szCs w:val="20"/>
          <w:rtl/>
          <w:lang w:bidi="ar-IQ"/>
        </w:rPr>
        <w:t>المنجلي</w:t>
      </w:r>
      <w:proofErr w:type="spellEnd"/>
      <w:r w:rsidR="000631D0" w:rsidRPr="00535E5C">
        <w:rPr>
          <w:rFonts w:hint="cs"/>
          <w:sz w:val="20"/>
          <w:szCs w:val="20"/>
          <w:rtl/>
          <w:lang w:bidi="ar-IQ"/>
        </w:rPr>
        <w:t>.</w:t>
      </w:r>
    </w:p>
    <w:p w:rsidR="000631D0" w:rsidRPr="00535E5C" w:rsidRDefault="000631D0" w:rsidP="000444AF">
      <w:pPr>
        <w:pStyle w:val="a3"/>
        <w:numPr>
          <w:ilvl w:val="0"/>
          <w:numId w:val="1"/>
        </w:numPr>
        <w:rPr>
          <w:sz w:val="20"/>
          <w:szCs w:val="20"/>
          <w:lang w:bidi="ar-IQ"/>
        </w:rPr>
      </w:pPr>
      <w:r w:rsidRPr="00535E5C">
        <w:rPr>
          <w:rFonts w:hint="cs"/>
          <w:sz w:val="20"/>
          <w:szCs w:val="20"/>
          <w:rtl/>
          <w:lang w:bidi="ar-IQ"/>
        </w:rPr>
        <w:t>الحد من الاضطرابات الوراثية الأخرى عن طريق تحديد المشكلات التي تليها التوعية.</w:t>
      </w:r>
    </w:p>
    <w:p w:rsidR="000631D0" w:rsidRPr="00535E5C" w:rsidRDefault="00183BAC" w:rsidP="000444AF">
      <w:pPr>
        <w:pStyle w:val="a3"/>
        <w:numPr>
          <w:ilvl w:val="0"/>
          <w:numId w:val="1"/>
        </w:numPr>
        <w:rPr>
          <w:sz w:val="20"/>
          <w:szCs w:val="20"/>
          <w:lang w:bidi="ar-IQ"/>
        </w:rPr>
      </w:pPr>
      <w:r w:rsidRPr="00535E5C">
        <w:rPr>
          <w:rFonts w:hint="cs"/>
          <w:sz w:val="20"/>
          <w:szCs w:val="20"/>
          <w:rtl/>
          <w:lang w:bidi="ar-IQ"/>
        </w:rPr>
        <w:t>التوعية بشأن السلوكيات شديدة الخطورة ,بما في ذلك تلك المتعلقة بفيروس العوز المناعي البشري (</w:t>
      </w:r>
      <w:r w:rsidRPr="00535E5C">
        <w:rPr>
          <w:sz w:val="20"/>
          <w:szCs w:val="20"/>
          <w:lang w:bidi="ar-IQ"/>
        </w:rPr>
        <w:t>HIV</w:t>
      </w:r>
      <w:r w:rsidRPr="00535E5C">
        <w:rPr>
          <w:rFonts w:hint="cs"/>
          <w:sz w:val="20"/>
          <w:szCs w:val="20"/>
          <w:rtl/>
          <w:lang w:bidi="ar-IQ"/>
        </w:rPr>
        <w:t>) والتهاب الكبد الوبائي والأمراض المعدية الأخرى.</w:t>
      </w:r>
    </w:p>
    <w:p w:rsidR="00183BAC" w:rsidRPr="00535E5C" w:rsidRDefault="00183BAC" w:rsidP="000444AF">
      <w:pPr>
        <w:pStyle w:val="a3"/>
        <w:numPr>
          <w:ilvl w:val="0"/>
          <w:numId w:val="1"/>
        </w:numPr>
        <w:rPr>
          <w:sz w:val="20"/>
          <w:szCs w:val="20"/>
          <w:lang w:bidi="ar-IQ"/>
        </w:rPr>
      </w:pPr>
      <w:r w:rsidRPr="00535E5C">
        <w:rPr>
          <w:rFonts w:hint="cs"/>
          <w:sz w:val="20"/>
          <w:szCs w:val="20"/>
          <w:rtl/>
          <w:lang w:bidi="ar-IQ"/>
        </w:rPr>
        <w:t>الاكتشاف المبكر لبعض الأمراض المنقولة جنسيا ومعالجتها.</w:t>
      </w:r>
    </w:p>
    <w:p w:rsidR="00183BAC" w:rsidRPr="00535E5C" w:rsidRDefault="00183BAC" w:rsidP="000444AF">
      <w:pPr>
        <w:pStyle w:val="a3"/>
        <w:numPr>
          <w:ilvl w:val="0"/>
          <w:numId w:val="1"/>
        </w:numPr>
        <w:rPr>
          <w:sz w:val="20"/>
          <w:szCs w:val="20"/>
          <w:lang w:bidi="ar-IQ"/>
        </w:rPr>
      </w:pPr>
      <w:r w:rsidRPr="00535E5C">
        <w:rPr>
          <w:rFonts w:hint="cs"/>
          <w:sz w:val="20"/>
          <w:szCs w:val="20"/>
          <w:rtl/>
          <w:lang w:bidi="ar-IQ"/>
        </w:rPr>
        <w:t>رفع مستوى الوعي بخصوص الصحة الإنجابية وتنظيم الأسرة وأساليب الحياة الصحية.</w:t>
      </w:r>
    </w:p>
    <w:p w:rsidR="00183BAC" w:rsidRPr="00535E5C" w:rsidRDefault="00183BAC" w:rsidP="000444AF">
      <w:pPr>
        <w:pStyle w:val="a3"/>
        <w:numPr>
          <w:ilvl w:val="0"/>
          <w:numId w:val="1"/>
        </w:numPr>
        <w:rPr>
          <w:sz w:val="20"/>
          <w:szCs w:val="20"/>
          <w:lang w:bidi="ar-IQ"/>
        </w:rPr>
      </w:pPr>
      <w:r w:rsidRPr="00535E5C">
        <w:rPr>
          <w:rFonts w:hint="cs"/>
          <w:sz w:val="20"/>
          <w:szCs w:val="20"/>
          <w:rtl/>
          <w:lang w:bidi="ar-IQ"/>
        </w:rPr>
        <w:t>توفير الدعم الطبي والاجتماعي والنفسي للزوجين.</w:t>
      </w:r>
    </w:p>
    <w:p w:rsidR="00183BAC" w:rsidRPr="00535E5C" w:rsidRDefault="00183BAC" w:rsidP="000444AF">
      <w:pPr>
        <w:pStyle w:val="a3"/>
        <w:numPr>
          <w:ilvl w:val="0"/>
          <w:numId w:val="1"/>
        </w:numPr>
        <w:rPr>
          <w:sz w:val="20"/>
          <w:szCs w:val="20"/>
          <w:lang w:bidi="ar-IQ"/>
        </w:rPr>
      </w:pPr>
      <w:r w:rsidRPr="00535E5C">
        <w:rPr>
          <w:rFonts w:hint="cs"/>
          <w:sz w:val="20"/>
          <w:szCs w:val="20"/>
          <w:rtl/>
          <w:lang w:bidi="ar-IQ"/>
        </w:rPr>
        <w:t>تقديم اللقاحات المطلوبة</w:t>
      </w:r>
    </w:p>
    <w:p w:rsidR="00183BAC" w:rsidRPr="00535E5C" w:rsidRDefault="00560016" w:rsidP="00183BAC">
      <w:pPr>
        <w:rPr>
          <w:sz w:val="20"/>
          <w:szCs w:val="20"/>
          <w:rtl/>
          <w:lang w:bidi="ar-IQ"/>
        </w:rPr>
      </w:pPr>
      <w:r w:rsidRPr="00535E5C">
        <w:rPr>
          <w:rFonts w:hint="cs"/>
          <w:sz w:val="20"/>
          <w:szCs w:val="20"/>
          <w:rtl/>
          <w:lang w:bidi="ar-IQ"/>
        </w:rPr>
        <w:t>ينبغي تقديم التوعية للزوجين معًا,</w:t>
      </w:r>
      <w:proofErr w:type="spellStart"/>
      <w:r w:rsidRPr="00535E5C">
        <w:rPr>
          <w:rFonts w:hint="cs"/>
          <w:sz w:val="20"/>
          <w:szCs w:val="20"/>
          <w:rtl/>
          <w:lang w:bidi="ar-IQ"/>
        </w:rPr>
        <w:t>مالم</w:t>
      </w:r>
      <w:proofErr w:type="spellEnd"/>
      <w:r w:rsidRPr="00535E5C">
        <w:rPr>
          <w:rFonts w:hint="cs"/>
          <w:sz w:val="20"/>
          <w:szCs w:val="20"/>
          <w:rtl/>
          <w:lang w:bidi="ar-IQ"/>
        </w:rPr>
        <w:t xml:space="preserve"> تكن هناك مشكلة معينة تتطلب مقابلة شخصية .ينبغي على الزوجين تفهم </w:t>
      </w:r>
      <w:proofErr w:type="spellStart"/>
      <w:r w:rsidRPr="00535E5C">
        <w:rPr>
          <w:rFonts w:hint="cs"/>
          <w:sz w:val="20"/>
          <w:szCs w:val="20"/>
          <w:rtl/>
          <w:lang w:bidi="ar-IQ"/>
        </w:rPr>
        <w:t>ان</w:t>
      </w:r>
      <w:proofErr w:type="spellEnd"/>
      <w:r w:rsidRPr="00535E5C">
        <w:rPr>
          <w:rFonts w:hint="cs"/>
          <w:sz w:val="20"/>
          <w:szCs w:val="20"/>
          <w:rtl/>
          <w:lang w:bidi="ar-IQ"/>
        </w:rPr>
        <w:t xml:space="preserve"> التوعية لا تضمن عدم وجود تشوهات خلقية ,كما لا تقيم مستوى خصوبتهم.</w:t>
      </w:r>
    </w:p>
    <w:p w:rsidR="00560016" w:rsidRPr="00535E5C" w:rsidRDefault="00560016" w:rsidP="00183BAC">
      <w:pPr>
        <w:rPr>
          <w:sz w:val="20"/>
          <w:szCs w:val="20"/>
          <w:rtl/>
          <w:lang w:bidi="ar-IQ"/>
        </w:rPr>
      </w:pPr>
      <w:r w:rsidRPr="00535E5C">
        <w:rPr>
          <w:rFonts w:hint="cs"/>
          <w:sz w:val="20"/>
          <w:szCs w:val="20"/>
          <w:rtl/>
          <w:lang w:bidi="ar-IQ"/>
        </w:rPr>
        <w:t xml:space="preserve">لن يتم إصدار الشهادة على صورة نموذج تقييم الخطر لتوعية المقبلين على الزواج إلا بعد توعية الزوجين معا ,مع الإشارة إلى تم تقديم المشورة للزوجين معا وترك قرار الزواج للأزواج أنفسهم .سيتم تسجيل الشهادة وإعطاء رقم تسجيل وتوقيعها وختمها من جانب أخصائي الفحص ومدير المؤسسة الصحية. </w:t>
      </w:r>
    </w:p>
    <w:p w:rsidR="0042393C" w:rsidRPr="00535E5C" w:rsidRDefault="0042393C" w:rsidP="00183BAC">
      <w:pPr>
        <w:rPr>
          <w:sz w:val="20"/>
          <w:szCs w:val="20"/>
          <w:rtl/>
          <w:lang w:bidi="ar-IQ"/>
        </w:rPr>
      </w:pPr>
    </w:p>
    <w:p w:rsidR="0042393C" w:rsidRPr="00535E5C" w:rsidRDefault="0042393C" w:rsidP="00183BAC">
      <w:pPr>
        <w:rPr>
          <w:sz w:val="20"/>
          <w:szCs w:val="20"/>
          <w:rtl/>
          <w:lang w:bidi="ar-IQ"/>
        </w:rPr>
      </w:pPr>
    </w:p>
    <w:p w:rsidR="0042393C" w:rsidRPr="00535E5C" w:rsidRDefault="0042393C" w:rsidP="0042393C">
      <w:pPr>
        <w:spacing w:after="160" w:line="256" w:lineRule="auto"/>
        <w:ind w:left="845"/>
        <w:rPr>
          <w:sz w:val="20"/>
          <w:szCs w:val="20"/>
          <w:lang w:bidi="ar-IQ"/>
        </w:rPr>
      </w:pPr>
    </w:p>
    <w:p w:rsidR="0042393C" w:rsidRPr="00535E5C" w:rsidRDefault="0042393C" w:rsidP="0042393C">
      <w:pPr>
        <w:spacing w:after="160" w:line="256" w:lineRule="auto"/>
        <w:ind w:left="845"/>
        <w:rPr>
          <w:sz w:val="20"/>
          <w:szCs w:val="20"/>
          <w:rtl/>
          <w:lang w:bidi="ar-IQ"/>
        </w:rPr>
      </w:pPr>
      <w:r w:rsidRPr="00535E5C">
        <w:rPr>
          <w:sz w:val="20"/>
          <w:szCs w:val="20"/>
          <w:rtl/>
          <w:lang w:bidi="ar-IQ"/>
        </w:rPr>
        <w:t xml:space="preserve">الطبيبة الاختصاص </w:t>
      </w:r>
      <w:proofErr w:type="spellStart"/>
      <w:r w:rsidRPr="00535E5C">
        <w:rPr>
          <w:sz w:val="20"/>
          <w:szCs w:val="20"/>
          <w:rtl/>
          <w:lang w:bidi="ar-IQ"/>
        </w:rPr>
        <w:t>ميساء</w:t>
      </w:r>
      <w:proofErr w:type="spellEnd"/>
      <w:r w:rsidRPr="00535E5C">
        <w:rPr>
          <w:sz w:val="20"/>
          <w:szCs w:val="20"/>
          <w:rtl/>
          <w:lang w:bidi="ar-IQ"/>
        </w:rPr>
        <w:t xml:space="preserve"> يوسف محمد(بورد عراقي طب مجتمع)</w:t>
      </w:r>
    </w:p>
    <w:p w:rsidR="00711792" w:rsidRPr="00535E5C" w:rsidRDefault="0042393C" w:rsidP="00535E5C">
      <w:pPr>
        <w:spacing w:after="160" w:line="256" w:lineRule="auto"/>
        <w:ind w:left="845"/>
        <w:rPr>
          <w:sz w:val="20"/>
          <w:szCs w:val="20"/>
          <w:lang w:bidi="ar-IQ"/>
        </w:rPr>
      </w:pPr>
      <w:r w:rsidRPr="00535E5C">
        <w:rPr>
          <w:sz w:val="20"/>
          <w:szCs w:val="20"/>
          <w:rtl/>
          <w:lang w:bidi="ar-IQ"/>
        </w:rPr>
        <w:t xml:space="preserve">دائرة صحة </w:t>
      </w:r>
      <w:proofErr w:type="spellStart"/>
      <w:r w:rsidRPr="00535E5C">
        <w:rPr>
          <w:sz w:val="20"/>
          <w:szCs w:val="20"/>
          <w:rtl/>
          <w:lang w:bidi="ar-IQ"/>
        </w:rPr>
        <w:t>البصره</w:t>
      </w:r>
      <w:proofErr w:type="spellEnd"/>
      <w:r w:rsidRPr="00535E5C">
        <w:rPr>
          <w:sz w:val="20"/>
          <w:szCs w:val="20"/>
          <w:rtl/>
          <w:lang w:bidi="ar-IQ"/>
        </w:rPr>
        <w:t>/قسم الصحة ألعامه/وحده صحة الأم والطفل والصحة الإنجابية</w:t>
      </w:r>
    </w:p>
    <w:sectPr w:rsidR="00711792" w:rsidRPr="00535E5C" w:rsidSect="007452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90143"/>
    <w:multiLevelType w:val="hybridMultilevel"/>
    <w:tmpl w:val="3E94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D42AC3"/>
    <w:rsid w:val="000444AF"/>
    <w:rsid w:val="000631D0"/>
    <w:rsid w:val="00183BAC"/>
    <w:rsid w:val="0042393C"/>
    <w:rsid w:val="00535E5C"/>
    <w:rsid w:val="00560016"/>
    <w:rsid w:val="00711792"/>
    <w:rsid w:val="007452C5"/>
    <w:rsid w:val="007E77D5"/>
    <w:rsid w:val="008B1B4E"/>
    <w:rsid w:val="00AA5E2B"/>
    <w:rsid w:val="00AC15FD"/>
    <w:rsid w:val="00AE264C"/>
    <w:rsid w:val="00AF3136"/>
    <w:rsid w:val="00D05626"/>
    <w:rsid w:val="00D42AC3"/>
    <w:rsid w:val="00D8471B"/>
    <w:rsid w:val="00F36557"/>
    <w:rsid w:val="00F92B83"/>
    <w:rsid w:val="00FD1E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4AF"/>
    <w:pPr>
      <w:ind w:left="720"/>
      <w:contextualSpacing/>
    </w:pPr>
  </w:style>
  <w:style w:type="paragraph" w:styleId="a4">
    <w:name w:val="Balloon Text"/>
    <w:basedOn w:val="a"/>
    <w:link w:val="Char"/>
    <w:uiPriority w:val="99"/>
    <w:semiHidden/>
    <w:unhideWhenUsed/>
    <w:rsid w:val="00535E5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35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Pages>
  <Words>359</Words>
  <Characters>2049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2021-10-07T06:24:00Z</dcterms:created>
  <dcterms:modified xsi:type="dcterms:W3CDTF">2021-10-08T09:16:00Z</dcterms:modified>
</cp:coreProperties>
</file>