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5B" w:rsidRDefault="002B5D5B" w:rsidP="00282D55">
      <w:pPr>
        <w:pStyle w:val="Heading1"/>
        <w:bidi w:val="0"/>
        <w:spacing w:line="360" w:lineRule="auto"/>
        <w:jc w:val="center"/>
        <w:rPr>
          <w:color w:val="auto"/>
        </w:rPr>
      </w:pPr>
      <w:bookmarkStart w:id="0" w:name="_Toc36963303"/>
      <w:r>
        <w:rPr>
          <w:color w:val="auto"/>
        </w:rPr>
        <w:t>Medical investigation and Clinical Changes in the early phases of post burn adult inpatients as indicators for prompet infection diagnosis in the  Hospital for Burn and Plastic Surgery, Sulaimanyah, Iraq</w:t>
      </w:r>
    </w:p>
    <w:p w:rsidR="00A25C32" w:rsidRDefault="00A25C32" w:rsidP="002B5D5B">
      <w:pPr>
        <w:pStyle w:val="Heading1"/>
        <w:bidi w:val="0"/>
        <w:spacing w:line="360" w:lineRule="auto"/>
        <w:jc w:val="center"/>
        <w:rPr>
          <w:color w:val="auto"/>
        </w:rPr>
      </w:pPr>
      <w:r w:rsidRPr="00282D55">
        <w:rPr>
          <w:color w:val="auto"/>
        </w:rPr>
        <w:t>Abstract</w:t>
      </w:r>
      <w:bookmarkEnd w:id="0"/>
    </w:p>
    <w:p w:rsidR="00014B5B" w:rsidRPr="00693F16" w:rsidRDefault="00014B5B" w:rsidP="00861BA6">
      <w:pPr>
        <w:bidi w:val="0"/>
        <w:spacing w:line="360" w:lineRule="auto"/>
        <w:ind w:firstLine="720"/>
        <w:rPr>
          <w:rFonts w:asciiTheme="majorBidi" w:hAnsiTheme="majorBidi" w:cstheme="majorBidi"/>
        </w:rPr>
      </w:pPr>
      <w:r w:rsidRPr="00693F16">
        <w:rPr>
          <w:rFonts w:asciiTheme="majorBidi" w:hAnsiTheme="majorBidi" w:cstheme="majorBidi"/>
          <w:b/>
          <w:bCs/>
        </w:rPr>
        <w:t>Background</w:t>
      </w:r>
      <w:r w:rsidR="00385093" w:rsidRPr="00693F16">
        <w:rPr>
          <w:rFonts w:asciiTheme="majorBidi" w:hAnsiTheme="majorBidi" w:cstheme="majorBidi"/>
          <w:b/>
          <w:bCs/>
        </w:rPr>
        <w:t xml:space="preserve">: </w:t>
      </w:r>
      <w:r w:rsidR="00385093" w:rsidRPr="00693F16">
        <w:rPr>
          <w:rFonts w:asciiTheme="majorBidi" w:hAnsiTheme="majorBidi" w:cstheme="majorBidi"/>
        </w:rPr>
        <w:t xml:space="preserve">Burn </w:t>
      </w:r>
      <w:r w:rsidR="00817345" w:rsidRPr="00693F16">
        <w:rPr>
          <w:rFonts w:asciiTheme="majorBidi" w:hAnsiTheme="majorBidi" w:cstheme="majorBidi"/>
        </w:rPr>
        <w:t xml:space="preserve">injury </w:t>
      </w:r>
      <w:r w:rsidR="00385093" w:rsidRPr="00693F16">
        <w:rPr>
          <w:rFonts w:asciiTheme="majorBidi" w:hAnsiTheme="majorBidi" w:cstheme="majorBidi"/>
        </w:rPr>
        <w:t>i</w:t>
      </w:r>
      <w:r w:rsidR="00817345" w:rsidRPr="00693F16">
        <w:rPr>
          <w:rFonts w:asciiTheme="majorBidi" w:hAnsiTheme="majorBidi" w:cstheme="majorBidi"/>
        </w:rPr>
        <w:t>s</w:t>
      </w:r>
      <w:r w:rsidR="002B5D5B">
        <w:rPr>
          <w:rFonts w:asciiTheme="majorBidi" w:hAnsiTheme="majorBidi" w:cstheme="majorBidi"/>
        </w:rPr>
        <w:t xml:space="preserve"> </w:t>
      </w:r>
      <w:r w:rsidR="00CD1F82" w:rsidRPr="00693F16">
        <w:rPr>
          <w:rFonts w:asciiTheme="majorBidi" w:hAnsiTheme="majorBidi" w:cstheme="majorBidi"/>
        </w:rPr>
        <w:t>a</w:t>
      </w:r>
      <w:r w:rsidR="00817345" w:rsidRPr="00693F16">
        <w:rPr>
          <w:rFonts w:asciiTheme="majorBidi" w:hAnsiTheme="majorBidi" w:cstheme="majorBidi"/>
        </w:rPr>
        <w:t>devastating formof trauma that affects</w:t>
      </w:r>
      <w:r w:rsidR="00CD1F82" w:rsidRPr="00693F16">
        <w:rPr>
          <w:rFonts w:asciiTheme="majorBidi" w:hAnsiTheme="majorBidi" w:cstheme="majorBidi"/>
        </w:rPr>
        <w:t xml:space="preserve"> human</w:t>
      </w:r>
      <w:r w:rsidR="00817345" w:rsidRPr="00693F16">
        <w:rPr>
          <w:rFonts w:asciiTheme="majorBidi" w:hAnsiTheme="majorBidi" w:cstheme="majorBidi"/>
        </w:rPr>
        <w:t xml:space="preserve">, and it is one of the leading causes of morbidity and mortality worldwide. </w:t>
      </w:r>
      <w:r w:rsidR="00503F80" w:rsidRPr="00693F16">
        <w:rPr>
          <w:rFonts w:asciiTheme="majorBidi" w:hAnsiTheme="majorBidi" w:cstheme="majorBidi"/>
        </w:rPr>
        <w:t>It leaves</w:t>
      </w:r>
      <w:r w:rsidR="00817345" w:rsidRPr="00693F16">
        <w:rPr>
          <w:rFonts w:asciiTheme="majorBidi" w:hAnsiTheme="majorBidi" w:cstheme="majorBidi"/>
        </w:rPr>
        <w:t>short or long term damages on the patients depending on how severity of the injury.</w:t>
      </w:r>
    </w:p>
    <w:p w:rsidR="0046209D" w:rsidRPr="00693F16" w:rsidRDefault="0046209D" w:rsidP="0046209D">
      <w:pPr>
        <w:bidi w:val="0"/>
        <w:spacing w:line="360" w:lineRule="auto"/>
        <w:ind w:firstLine="720"/>
        <w:rPr>
          <w:rFonts w:asciiTheme="majorBidi" w:hAnsiTheme="majorBidi" w:cstheme="majorBidi"/>
        </w:rPr>
      </w:pPr>
    </w:p>
    <w:p w:rsidR="0046209D" w:rsidRDefault="0046209D" w:rsidP="0046209D">
      <w:pPr>
        <w:pStyle w:val="Heading1"/>
        <w:bidi w:val="0"/>
        <w:spacing w:line="360" w:lineRule="auto"/>
        <w:ind w:firstLine="720"/>
        <w:rPr>
          <w:rFonts w:asciiTheme="majorBidi" w:hAnsiTheme="majorBidi"/>
          <w:color w:val="auto"/>
          <w:sz w:val="24"/>
          <w:szCs w:val="24"/>
        </w:rPr>
      </w:pPr>
      <w:bookmarkStart w:id="1" w:name="_Toc36963330"/>
      <w:r w:rsidRPr="00693F16">
        <w:rPr>
          <w:rFonts w:asciiTheme="majorBidi" w:hAnsiTheme="majorBidi"/>
          <w:color w:val="auto"/>
          <w:sz w:val="24"/>
          <w:szCs w:val="24"/>
        </w:rPr>
        <w:t>Aim of the study</w:t>
      </w:r>
      <w:bookmarkEnd w:id="1"/>
    </w:p>
    <w:p w:rsidR="0046209D" w:rsidRPr="00693F16" w:rsidRDefault="002B5D5B" w:rsidP="002B5D5B">
      <w:pPr>
        <w:bidi w:val="0"/>
        <w:ind w:firstLine="720"/>
        <w:rPr>
          <w:rFonts w:asciiTheme="majorBidi" w:hAnsiTheme="majorBidi" w:cstheme="majorBidi"/>
        </w:rPr>
      </w:pPr>
      <w:r>
        <w:t>To elaborate on the early</w:t>
      </w:r>
      <w:r w:rsidR="008466D5">
        <w:t xml:space="preserve"> laboratory </w:t>
      </w:r>
      <w:r>
        <w:t xml:space="preserve">and microbial culture </w:t>
      </w:r>
      <w:r w:rsidR="008466D5">
        <w:t xml:space="preserve">changes in adult burn </w:t>
      </w:r>
      <w:r>
        <w:t>inpatients,</w:t>
      </w:r>
      <w:r w:rsidR="008466D5">
        <w:t xml:space="preserve"> and </w:t>
      </w:r>
      <w:r w:rsidR="00CD1F82" w:rsidRPr="00693F16">
        <w:rPr>
          <w:rFonts w:asciiTheme="majorBidi" w:hAnsiTheme="majorBidi" w:cstheme="majorBidi"/>
        </w:rPr>
        <w:t>to make u</w:t>
      </w:r>
      <w:r>
        <w:rPr>
          <w:rFonts w:asciiTheme="majorBidi" w:hAnsiTheme="majorBidi" w:cstheme="majorBidi"/>
        </w:rPr>
        <w:t xml:space="preserve">se of </w:t>
      </w:r>
      <w:r w:rsidR="00CD1F82" w:rsidRPr="00693F16">
        <w:rPr>
          <w:rFonts w:asciiTheme="majorBidi" w:hAnsiTheme="majorBidi" w:cstheme="majorBidi"/>
        </w:rPr>
        <w:t xml:space="preserve"> subtle changes</w:t>
      </w:r>
      <w:r>
        <w:rPr>
          <w:rFonts w:asciiTheme="majorBidi" w:hAnsiTheme="majorBidi" w:cstheme="majorBidi"/>
        </w:rPr>
        <w:t xml:space="preserve"> in the laboratory investigations,</w:t>
      </w:r>
      <w:r w:rsidR="00CD1F82" w:rsidRPr="00693F16">
        <w:rPr>
          <w:rFonts w:asciiTheme="majorBidi" w:hAnsiTheme="majorBidi" w:cstheme="majorBidi"/>
        </w:rPr>
        <w:t xml:space="preserve"> to </w:t>
      </w:r>
      <w:r>
        <w:rPr>
          <w:rFonts w:asciiTheme="majorBidi" w:hAnsiTheme="majorBidi" w:cstheme="majorBidi"/>
        </w:rPr>
        <w:t xml:space="preserve">predict and </w:t>
      </w:r>
      <w:r w:rsidR="00CD1F82" w:rsidRPr="00693F16">
        <w:rPr>
          <w:rFonts w:asciiTheme="majorBidi" w:hAnsiTheme="majorBidi" w:cstheme="majorBidi"/>
        </w:rPr>
        <w:t>detect infections in burn victims</w:t>
      </w:r>
      <w:r>
        <w:rPr>
          <w:rFonts w:asciiTheme="majorBidi" w:hAnsiTheme="majorBidi" w:cstheme="majorBidi"/>
        </w:rPr>
        <w:t xml:space="preserve"> in its early phases</w:t>
      </w:r>
      <w:r w:rsidR="00CD1F82" w:rsidRPr="00693F16">
        <w:rPr>
          <w:rFonts w:asciiTheme="majorBidi" w:hAnsiTheme="majorBidi" w:cstheme="majorBidi"/>
        </w:rPr>
        <w:t>.</w:t>
      </w:r>
    </w:p>
    <w:p w:rsidR="0046209D" w:rsidRPr="00693F16" w:rsidRDefault="0046209D" w:rsidP="0046209D">
      <w:pPr>
        <w:bidi w:val="0"/>
        <w:spacing w:line="360" w:lineRule="auto"/>
        <w:ind w:firstLine="720"/>
        <w:rPr>
          <w:rFonts w:asciiTheme="majorBidi" w:hAnsiTheme="majorBidi" w:cstheme="majorBidi"/>
        </w:rPr>
      </w:pPr>
    </w:p>
    <w:p w:rsidR="00B26367" w:rsidRPr="00693F16" w:rsidRDefault="00171F9D" w:rsidP="00B26367">
      <w:pPr>
        <w:bidi w:val="0"/>
        <w:spacing w:line="360" w:lineRule="auto"/>
        <w:ind w:firstLine="720"/>
        <w:rPr>
          <w:rFonts w:asciiTheme="majorBidi" w:hAnsiTheme="majorBidi" w:cstheme="majorBidi"/>
          <w:b/>
          <w:bCs/>
        </w:rPr>
      </w:pPr>
      <w:r>
        <w:rPr>
          <w:rFonts w:asciiTheme="majorBidi" w:hAnsiTheme="majorBidi" w:cstheme="majorBidi"/>
          <w:b/>
          <w:bCs/>
        </w:rPr>
        <w:t xml:space="preserve">Patients and </w:t>
      </w:r>
      <w:r w:rsidR="00014B5B" w:rsidRPr="00693F16">
        <w:rPr>
          <w:rFonts w:asciiTheme="majorBidi" w:hAnsiTheme="majorBidi" w:cstheme="majorBidi"/>
          <w:b/>
          <w:bCs/>
        </w:rPr>
        <w:t>Method</w:t>
      </w:r>
      <w:r>
        <w:rPr>
          <w:rFonts w:asciiTheme="majorBidi" w:hAnsiTheme="majorBidi" w:cstheme="majorBidi"/>
          <w:b/>
          <w:bCs/>
        </w:rPr>
        <w:t>s</w:t>
      </w:r>
      <w:r w:rsidR="00014B5B" w:rsidRPr="00693F16">
        <w:rPr>
          <w:rFonts w:asciiTheme="majorBidi" w:hAnsiTheme="majorBidi" w:cstheme="majorBidi"/>
          <w:b/>
          <w:bCs/>
        </w:rPr>
        <w:t>:</w:t>
      </w:r>
      <w:r w:rsidR="002B5D5B">
        <w:rPr>
          <w:rFonts w:asciiTheme="majorBidi" w:hAnsiTheme="majorBidi" w:cstheme="majorBidi"/>
          <w:b/>
          <w:bCs/>
        </w:rPr>
        <w:t xml:space="preserve"> </w:t>
      </w:r>
      <w:r w:rsidR="00B26367" w:rsidRPr="00693F16">
        <w:rPr>
          <w:rFonts w:asciiTheme="majorBidi" w:hAnsiTheme="majorBidi" w:cstheme="majorBidi"/>
        </w:rPr>
        <w:t>A Clinical</w:t>
      </w:r>
      <w:r w:rsidR="00A44429" w:rsidRPr="00693F16">
        <w:rPr>
          <w:rFonts w:asciiTheme="majorBidi" w:hAnsiTheme="majorBidi" w:cstheme="majorBidi"/>
        </w:rPr>
        <w:t xml:space="preserve"> observational study </w:t>
      </w:r>
      <w:r w:rsidR="00CD1F82" w:rsidRPr="00693F16">
        <w:rPr>
          <w:rFonts w:asciiTheme="majorBidi" w:hAnsiTheme="majorBidi" w:cstheme="majorBidi"/>
        </w:rPr>
        <w:t>included</w:t>
      </w:r>
      <w:r>
        <w:rPr>
          <w:rFonts w:asciiTheme="majorBidi" w:hAnsiTheme="majorBidi" w:cstheme="majorBidi"/>
        </w:rPr>
        <w:t xml:space="preserve"> a </w:t>
      </w:r>
      <w:r w:rsidR="002B5D5B">
        <w:rPr>
          <w:rFonts w:asciiTheme="majorBidi" w:hAnsiTheme="majorBidi" w:cstheme="majorBidi"/>
        </w:rPr>
        <w:t xml:space="preserve">random </w:t>
      </w:r>
      <w:r>
        <w:rPr>
          <w:rFonts w:asciiTheme="majorBidi" w:hAnsiTheme="majorBidi" w:cstheme="majorBidi"/>
        </w:rPr>
        <w:t>sample of</w:t>
      </w:r>
      <w:r w:rsidR="002B5D5B">
        <w:rPr>
          <w:rFonts w:asciiTheme="majorBidi" w:hAnsiTheme="majorBidi" w:cstheme="majorBidi"/>
        </w:rPr>
        <w:t xml:space="preserve"> one hundred</w:t>
      </w:r>
      <w:r w:rsidR="00A44429" w:rsidRPr="00693F16">
        <w:rPr>
          <w:rFonts w:asciiTheme="majorBidi" w:hAnsiTheme="majorBidi" w:cstheme="majorBidi"/>
        </w:rPr>
        <w:t xml:space="preserve"> </w:t>
      </w:r>
      <w:r w:rsidR="00B26367" w:rsidRPr="00693F16">
        <w:rPr>
          <w:rFonts w:asciiTheme="majorBidi" w:hAnsiTheme="majorBidi" w:cstheme="majorBidi"/>
        </w:rPr>
        <w:t xml:space="preserve">adult </w:t>
      </w:r>
      <w:r w:rsidR="00A44429" w:rsidRPr="00693F16">
        <w:rPr>
          <w:rFonts w:asciiTheme="majorBidi" w:hAnsiTheme="majorBidi" w:cstheme="majorBidi"/>
        </w:rPr>
        <w:t xml:space="preserve">burn </w:t>
      </w:r>
      <w:r w:rsidR="002B5D5B">
        <w:rPr>
          <w:rFonts w:asciiTheme="majorBidi" w:hAnsiTheme="majorBidi" w:cstheme="majorBidi"/>
        </w:rPr>
        <w:t>in</w:t>
      </w:r>
      <w:r w:rsidR="00B26367" w:rsidRPr="00693F16">
        <w:rPr>
          <w:rFonts w:asciiTheme="majorBidi" w:hAnsiTheme="majorBidi" w:cstheme="majorBidi"/>
        </w:rPr>
        <w:t>patients from</w:t>
      </w:r>
      <w:r w:rsidR="002B5D5B">
        <w:rPr>
          <w:rFonts w:asciiTheme="majorBidi" w:hAnsiTheme="majorBidi" w:cstheme="majorBidi"/>
        </w:rPr>
        <w:t xml:space="preserve"> </w:t>
      </w:r>
      <w:r w:rsidRPr="00693F16">
        <w:rPr>
          <w:rFonts w:asciiTheme="majorBidi" w:hAnsiTheme="majorBidi" w:cstheme="majorBidi"/>
        </w:rPr>
        <w:t>Sulaymaniyah</w:t>
      </w:r>
      <w:r w:rsidR="002B5D5B">
        <w:rPr>
          <w:rFonts w:asciiTheme="majorBidi" w:hAnsiTheme="majorBidi" w:cstheme="majorBidi"/>
        </w:rPr>
        <w:t xml:space="preserve"> </w:t>
      </w:r>
      <w:r>
        <w:rPr>
          <w:rFonts w:asciiTheme="majorBidi" w:hAnsiTheme="majorBidi" w:cstheme="majorBidi"/>
        </w:rPr>
        <w:t>B</w:t>
      </w:r>
      <w:r w:rsidR="00CD1F82" w:rsidRPr="00693F16">
        <w:rPr>
          <w:rFonts w:asciiTheme="majorBidi" w:hAnsiTheme="majorBidi" w:cstheme="majorBidi"/>
        </w:rPr>
        <w:t xml:space="preserve">urn </w:t>
      </w:r>
      <w:r w:rsidR="00F30DEE" w:rsidRPr="00693F16">
        <w:rPr>
          <w:rFonts w:asciiTheme="majorBidi" w:hAnsiTheme="majorBidi" w:cstheme="majorBidi"/>
        </w:rPr>
        <w:t>Hospital</w:t>
      </w:r>
      <w:r w:rsidR="002B5D5B">
        <w:rPr>
          <w:rFonts w:asciiTheme="majorBidi" w:hAnsiTheme="majorBidi" w:cstheme="majorBidi"/>
        </w:rPr>
        <w:t xml:space="preserve">, admited </w:t>
      </w:r>
      <w:r w:rsidR="00F30DEE" w:rsidRPr="00693F16">
        <w:rPr>
          <w:rFonts w:asciiTheme="majorBidi" w:hAnsiTheme="majorBidi" w:cstheme="majorBidi"/>
        </w:rPr>
        <w:t xml:space="preserve"> from</w:t>
      </w:r>
      <w:r w:rsidR="002B5D5B">
        <w:rPr>
          <w:rFonts w:asciiTheme="majorBidi" w:hAnsiTheme="majorBidi" w:cstheme="majorBidi"/>
        </w:rPr>
        <w:t xml:space="preserve"> </w:t>
      </w:r>
      <w:r w:rsidR="00876E6B">
        <w:rPr>
          <w:rFonts w:asciiTheme="majorBidi" w:hAnsiTheme="majorBidi" w:cstheme="majorBidi"/>
        </w:rPr>
        <w:t>April</w:t>
      </w:r>
      <w:r w:rsidR="002B5D5B">
        <w:rPr>
          <w:rFonts w:asciiTheme="majorBidi" w:hAnsiTheme="majorBidi" w:cstheme="majorBidi"/>
        </w:rPr>
        <w:t xml:space="preserve"> </w:t>
      </w:r>
      <w:r w:rsidR="00A44429" w:rsidRPr="00693F16">
        <w:rPr>
          <w:rFonts w:asciiTheme="majorBidi" w:hAnsiTheme="majorBidi" w:cstheme="majorBidi"/>
        </w:rPr>
        <w:t>201</w:t>
      </w:r>
      <w:r w:rsidR="005D4C1B">
        <w:rPr>
          <w:rFonts w:asciiTheme="majorBidi" w:hAnsiTheme="majorBidi" w:cstheme="majorBidi"/>
        </w:rPr>
        <w:t>9</w:t>
      </w:r>
      <w:r w:rsidR="002B5D5B">
        <w:rPr>
          <w:rFonts w:asciiTheme="majorBidi" w:hAnsiTheme="majorBidi" w:cstheme="majorBidi"/>
        </w:rPr>
        <w:t xml:space="preserve"> to January </w:t>
      </w:r>
      <w:r w:rsidR="00A44429" w:rsidRPr="00693F16">
        <w:rPr>
          <w:rFonts w:asciiTheme="majorBidi" w:hAnsiTheme="majorBidi" w:cstheme="majorBidi"/>
        </w:rPr>
        <w:t>20</w:t>
      </w:r>
      <w:r w:rsidR="002B5D5B">
        <w:rPr>
          <w:rFonts w:asciiTheme="majorBidi" w:hAnsiTheme="majorBidi" w:cstheme="majorBidi"/>
        </w:rPr>
        <w:t>21</w:t>
      </w:r>
      <w:r w:rsidR="00CD1F82" w:rsidRPr="00693F16">
        <w:rPr>
          <w:rFonts w:asciiTheme="majorBidi" w:hAnsiTheme="majorBidi" w:cstheme="majorBidi"/>
        </w:rPr>
        <w:t>, retrospective</w:t>
      </w:r>
      <w:r>
        <w:rPr>
          <w:rFonts w:asciiTheme="majorBidi" w:hAnsiTheme="majorBidi" w:cstheme="majorBidi"/>
        </w:rPr>
        <w:t>ly</w:t>
      </w:r>
      <w:r w:rsidR="00CD1F82" w:rsidRPr="00693F16">
        <w:rPr>
          <w:rFonts w:asciiTheme="majorBidi" w:hAnsiTheme="majorBidi" w:cstheme="majorBidi"/>
        </w:rPr>
        <w:t xml:space="preserve"> and prospectively</w:t>
      </w:r>
      <w:r w:rsidR="002B5D5B">
        <w:rPr>
          <w:rFonts w:asciiTheme="majorBidi" w:hAnsiTheme="majorBidi" w:cstheme="majorBidi"/>
        </w:rPr>
        <w:t xml:space="preserve"> followed up during the course of the study</w:t>
      </w:r>
      <w:r w:rsidR="000B4CC4" w:rsidRPr="00693F16">
        <w:rPr>
          <w:rFonts w:asciiTheme="majorBidi" w:hAnsiTheme="majorBidi" w:cstheme="majorBidi"/>
        </w:rPr>
        <w:t xml:space="preserve">. </w:t>
      </w:r>
      <w:bookmarkStart w:id="2" w:name="_GoBack"/>
      <w:bookmarkEnd w:id="2"/>
    </w:p>
    <w:p w:rsidR="00B26367" w:rsidRPr="00693F16" w:rsidRDefault="00B26367" w:rsidP="00B26367">
      <w:pPr>
        <w:bidi w:val="0"/>
        <w:spacing w:line="360" w:lineRule="auto"/>
        <w:ind w:firstLine="720"/>
        <w:rPr>
          <w:rFonts w:asciiTheme="majorBidi" w:hAnsiTheme="majorBidi" w:cstheme="majorBidi"/>
          <w:b/>
          <w:bCs/>
        </w:rPr>
      </w:pPr>
    </w:p>
    <w:p w:rsidR="00B26367" w:rsidRPr="00693F16" w:rsidRDefault="00014B5B" w:rsidP="0027472A">
      <w:pPr>
        <w:bidi w:val="0"/>
        <w:spacing w:line="360" w:lineRule="auto"/>
        <w:ind w:firstLine="720"/>
        <w:rPr>
          <w:rFonts w:asciiTheme="majorBidi" w:hAnsiTheme="majorBidi" w:cstheme="majorBidi"/>
        </w:rPr>
      </w:pPr>
      <w:r w:rsidRPr="00693F16">
        <w:rPr>
          <w:rFonts w:asciiTheme="majorBidi" w:hAnsiTheme="majorBidi" w:cstheme="majorBidi"/>
          <w:b/>
          <w:bCs/>
        </w:rPr>
        <w:t>Results:</w:t>
      </w:r>
      <w:r w:rsidR="0027472A">
        <w:rPr>
          <w:rFonts w:asciiTheme="majorBidi" w:hAnsiTheme="majorBidi" w:cstheme="majorBidi"/>
        </w:rPr>
        <w:t xml:space="preserve"> </w:t>
      </w:r>
      <w:r w:rsidR="000B7910" w:rsidRPr="00693F16">
        <w:rPr>
          <w:rFonts w:asciiTheme="majorBidi" w:hAnsiTheme="majorBidi" w:cstheme="majorBidi"/>
        </w:rPr>
        <w:t>all patients wer</w:t>
      </w:r>
      <w:r w:rsidR="00EE1B37" w:rsidRPr="00693F16">
        <w:rPr>
          <w:rFonts w:asciiTheme="majorBidi" w:hAnsiTheme="majorBidi" w:cstheme="majorBidi"/>
        </w:rPr>
        <w:t>e adults and aged ≥18 years</w:t>
      </w:r>
      <w:r w:rsidR="00A8161F" w:rsidRPr="00693F16">
        <w:rPr>
          <w:rFonts w:asciiTheme="majorBidi" w:hAnsiTheme="majorBidi" w:cstheme="majorBidi"/>
        </w:rPr>
        <w:t xml:space="preserve">. </w:t>
      </w:r>
      <w:r w:rsidR="000B7910" w:rsidRPr="00693F16">
        <w:rPr>
          <w:rFonts w:asciiTheme="majorBidi" w:hAnsiTheme="majorBidi" w:cstheme="majorBidi"/>
        </w:rPr>
        <w:t>51 % of them had II-III deg</w:t>
      </w:r>
      <w:r w:rsidR="00EE1B37" w:rsidRPr="00693F16">
        <w:rPr>
          <w:rFonts w:asciiTheme="majorBidi" w:hAnsiTheme="majorBidi" w:cstheme="majorBidi"/>
        </w:rPr>
        <w:t>ree burns.</w:t>
      </w:r>
      <w:r w:rsidR="000B7910" w:rsidRPr="00693F16">
        <w:rPr>
          <w:rFonts w:asciiTheme="majorBidi" w:hAnsiTheme="majorBidi" w:cstheme="majorBidi"/>
        </w:rPr>
        <w:t xml:space="preserve"> Hematocrit decreased, total WBC count increased </w:t>
      </w:r>
      <w:r w:rsidR="00B26367" w:rsidRPr="00693F16">
        <w:rPr>
          <w:rFonts w:asciiTheme="majorBidi" w:hAnsiTheme="majorBidi" w:cstheme="majorBidi"/>
        </w:rPr>
        <w:t xml:space="preserve">while </w:t>
      </w:r>
      <w:r w:rsidR="000B7910" w:rsidRPr="00693F16">
        <w:rPr>
          <w:rFonts w:asciiTheme="majorBidi" w:hAnsiTheme="majorBidi" w:cstheme="majorBidi"/>
        </w:rPr>
        <w:t xml:space="preserve">platelet in most </w:t>
      </w:r>
      <w:r w:rsidR="00225B42" w:rsidRPr="00693F16">
        <w:rPr>
          <w:rFonts w:asciiTheme="majorBidi" w:hAnsiTheme="majorBidi" w:cstheme="majorBidi"/>
        </w:rPr>
        <w:t xml:space="preserve">of the patients was normal </w:t>
      </w:r>
      <w:r w:rsidR="00EE1B37" w:rsidRPr="00693F16">
        <w:rPr>
          <w:rFonts w:asciiTheme="majorBidi" w:hAnsiTheme="majorBidi" w:cstheme="majorBidi"/>
        </w:rPr>
        <w:t>.</w:t>
      </w:r>
      <w:r w:rsidR="000B7910" w:rsidRPr="00693F16">
        <w:rPr>
          <w:rFonts w:asciiTheme="majorBidi" w:hAnsiTheme="majorBidi" w:cstheme="majorBidi"/>
        </w:rPr>
        <w:t>B</w:t>
      </w:r>
      <w:r w:rsidR="00B26367" w:rsidRPr="00693F16">
        <w:rPr>
          <w:rFonts w:asciiTheme="majorBidi" w:hAnsiTheme="majorBidi" w:cstheme="majorBidi"/>
        </w:rPr>
        <w:t>lood urea</w:t>
      </w:r>
      <w:r w:rsidR="000B7910" w:rsidRPr="00693F16">
        <w:rPr>
          <w:rFonts w:asciiTheme="majorBidi" w:hAnsiTheme="majorBidi" w:cstheme="majorBidi"/>
        </w:rPr>
        <w:t xml:space="preserve"> was increased, Serum creatinine levels were normal in most of th</w:t>
      </w:r>
      <w:r w:rsidR="00225B42" w:rsidRPr="00693F16">
        <w:rPr>
          <w:rFonts w:asciiTheme="majorBidi" w:hAnsiTheme="majorBidi" w:cstheme="majorBidi"/>
        </w:rPr>
        <w:t>e patient</w:t>
      </w:r>
      <w:r w:rsidR="002B5D5B">
        <w:rPr>
          <w:rFonts w:asciiTheme="majorBidi" w:hAnsiTheme="majorBidi" w:cstheme="majorBidi"/>
        </w:rPr>
        <w:t xml:space="preserve"> in first </w:t>
      </w:r>
      <w:r w:rsidR="000B7910" w:rsidRPr="00693F16">
        <w:rPr>
          <w:rFonts w:asciiTheme="majorBidi" w:hAnsiTheme="majorBidi" w:cstheme="majorBidi"/>
        </w:rPr>
        <w:t xml:space="preserve"> three weeks</w:t>
      </w:r>
      <w:r w:rsidR="002B5D5B">
        <w:rPr>
          <w:rFonts w:asciiTheme="majorBidi" w:hAnsiTheme="majorBidi" w:cstheme="majorBidi"/>
        </w:rPr>
        <w:t xml:space="preserve"> of their admission. Both </w:t>
      </w:r>
      <w:r w:rsidR="000B7910" w:rsidRPr="00693F16">
        <w:rPr>
          <w:rFonts w:asciiTheme="majorBidi" w:hAnsiTheme="majorBidi" w:cstheme="majorBidi"/>
        </w:rPr>
        <w:t>total serum protein and serum alb</w:t>
      </w:r>
      <w:r w:rsidR="00225B42" w:rsidRPr="00693F16">
        <w:rPr>
          <w:rFonts w:asciiTheme="majorBidi" w:hAnsiTheme="majorBidi" w:cstheme="majorBidi"/>
        </w:rPr>
        <w:t>umin levels were decrease compa</w:t>
      </w:r>
      <w:r w:rsidR="000B7910" w:rsidRPr="00693F16">
        <w:rPr>
          <w:rFonts w:asciiTheme="majorBidi" w:hAnsiTheme="majorBidi" w:cstheme="majorBidi"/>
        </w:rPr>
        <w:t>red to normal perso</w:t>
      </w:r>
      <w:r w:rsidR="00EE1B37" w:rsidRPr="00693F16">
        <w:rPr>
          <w:rFonts w:asciiTheme="majorBidi" w:hAnsiTheme="majorBidi" w:cstheme="majorBidi"/>
        </w:rPr>
        <w:t>n.</w:t>
      </w:r>
      <w:r w:rsidR="002B5D5B">
        <w:rPr>
          <w:rFonts w:asciiTheme="majorBidi" w:hAnsiTheme="majorBidi" w:cstheme="majorBidi"/>
        </w:rPr>
        <w:t xml:space="preserve"> </w:t>
      </w:r>
      <w:r w:rsidR="00225B42" w:rsidRPr="00693F16">
        <w:rPr>
          <w:rFonts w:asciiTheme="majorBidi" w:hAnsiTheme="majorBidi" w:cstheme="majorBidi"/>
        </w:rPr>
        <w:t xml:space="preserve">In a total of 100 patients we studied, </w:t>
      </w:r>
      <w:r w:rsidR="000B7910" w:rsidRPr="00693F16">
        <w:rPr>
          <w:rFonts w:asciiTheme="majorBidi" w:hAnsiTheme="majorBidi" w:cstheme="majorBidi"/>
        </w:rPr>
        <w:t>11 of them died</w:t>
      </w:r>
      <w:r w:rsidR="00B26367" w:rsidRPr="00693F16">
        <w:rPr>
          <w:rFonts w:asciiTheme="majorBidi" w:hAnsiTheme="majorBidi" w:cstheme="majorBidi"/>
        </w:rPr>
        <w:t xml:space="preserve">. </w:t>
      </w:r>
      <w:r w:rsidR="000B7910" w:rsidRPr="00693F16">
        <w:rPr>
          <w:rFonts w:asciiTheme="majorBidi" w:hAnsiTheme="majorBidi" w:cstheme="majorBidi"/>
        </w:rPr>
        <w:t xml:space="preserve"> 36% of the patients who </w:t>
      </w:r>
      <w:r w:rsidR="00225B42" w:rsidRPr="00693F16">
        <w:rPr>
          <w:rFonts w:asciiTheme="majorBidi" w:hAnsiTheme="majorBidi" w:cstheme="majorBidi"/>
        </w:rPr>
        <w:t>died had TBSA% of more than 60%, a</w:t>
      </w:r>
      <w:r w:rsidR="000B7910" w:rsidRPr="00693F16">
        <w:rPr>
          <w:rFonts w:asciiTheme="majorBidi" w:hAnsiTheme="majorBidi" w:cstheme="majorBidi"/>
        </w:rPr>
        <w:t>nd 72% of them ha</w:t>
      </w:r>
      <w:r w:rsidR="00225B42" w:rsidRPr="00693F16">
        <w:rPr>
          <w:rFonts w:asciiTheme="majorBidi" w:hAnsiTheme="majorBidi" w:cstheme="majorBidi"/>
        </w:rPr>
        <w:t>d II and III degree burns.</w:t>
      </w:r>
    </w:p>
    <w:p w:rsidR="007E1E3B" w:rsidRPr="00693F16" w:rsidRDefault="00AC3D17" w:rsidP="00B26367">
      <w:pPr>
        <w:bidi w:val="0"/>
        <w:spacing w:line="360" w:lineRule="auto"/>
        <w:ind w:firstLine="720"/>
        <w:rPr>
          <w:rFonts w:asciiTheme="majorBidi" w:hAnsiTheme="majorBidi" w:cstheme="majorBidi"/>
        </w:rPr>
      </w:pPr>
      <w:r w:rsidRPr="00693F16">
        <w:rPr>
          <w:rFonts w:asciiTheme="majorBidi" w:hAnsiTheme="majorBidi" w:cstheme="majorBidi"/>
        </w:rPr>
        <w:t xml:space="preserve">90% </w:t>
      </w:r>
      <w:r w:rsidR="000B7910" w:rsidRPr="00693F16">
        <w:rPr>
          <w:rFonts w:asciiTheme="majorBidi" w:hAnsiTheme="majorBidi" w:cstheme="majorBidi"/>
        </w:rPr>
        <w:t>of the patients had infection, majority of the results were Gram-negative bacteria (66.8%), and (33.2%) were Gram-positive, Pseudomonas aeruginosa (32.5%) was most common gram negative</w:t>
      </w:r>
      <w:r w:rsidR="00B26367" w:rsidRPr="00693F16">
        <w:rPr>
          <w:rFonts w:asciiTheme="majorBidi" w:hAnsiTheme="majorBidi" w:cstheme="majorBidi"/>
        </w:rPr>
        <w:t xml:space="preserve">. </w:t>
      </w:r>
      <w:r w:rsidR="000B7910" w:rsidRPr="00693F16">
        <w:rPr>
          <w:rFonts w:asciiTheme="majorBidi" w:hAnsiTheme="majorBidi" w:cstheme="majorBidi"/>
        </w:rPr>
        <w:t xml:space="preserve">staphylococcus aureus (33.2%) was the only gram positive organism recovered. 66.6% of patients had fever during the first week, 55.5% of </w:t>
      </w:r>
      <w:r w:rsidR="00B26367" w:rsidRPr="00693F16">
        <w:rPr>
          <w:rFonts w:asciiTheme="majorBidi" w:hAnsiTheme="majorBidi" w:cstheme="majorBidi"/>
        </w:rPr>
        <w:t>patients</w:t>
      </w:r>
      <w:r w:rsidR="000B7910" w:rsidRPr="00693F16">
        <w:rPr>
          <w:rFonts w:asciiTheme="majorBidi" w:hAnsiTheme="majorBidi" w:cstheme="majorBidi"/>
        </w:rPr>
        <w:t xml:space="preserve"> had fever in second week</w:t>
      </w:r>
      <w:r w:rsidR="000B7910" w:rsidRPr="00693F16">
        <w:rPr>
          <w:rFonts w:asciiTheme="majorBidi" w:hAnsiTheme="majorBidi" w:cstheme="majorBidi"/>
          <w:rtl/>
        </w:rPr>
        <w:t>.</w:t>
      </w:r>
      <w:r w:rsidR="009216BF" w:rsidRPr="00693F16">
        <w:rPr>
          <w:rFonts w:asciiTheme="majorBidi" w:hAnsiTheme="majorBidi" w:cstheme="majorBidi"/>
        </w:rPr>
        <w:t xml:space="preserve"> Most</w:t>
      </w:r>
      <w:r w:rsidR="00014B5B" w:rsidRPr="00693F16">
        <w:rPr>
          <w:rFonts w:asciiTheme="majorBidi" w:hAnsiTheme="majorBidi" w:cstheme="majorBidi"/>
        </w:rPr>
        <w:t xml:space="preserve"> of the patients, who</w:t>
      </w:r>
      <w:r w:rsidR="000B7910" w:rsidRPr="00693F16">
        <w:rPr>
          <w:rFonts w:asciiTheme="majorBidi" w:hAnsiTheme="majorBidi" w:cstheme="majorBidi"/>
        </w:rPr>
        <w:t xml:space="preserve"> had fever</w:t>
      </w:r>
      <w:r w:rsidR="00014B5B" w:rsidRPr="00693F16">
        <w:rPr>
          <w:rFonts w:asciiTheme="majorBidi" w:hAnsiTheme="majorBidi" w:cstheme="majorBidi"/>
        </w:rPr>
        <w:t>, were</w:t>
      </w:r>
      <w:r w:rsidR="000B7910" w:rsidRPr="00693F16">
        <w:rPr>
          <w:rFonts w:asciiTheme="majorBidi" w:hAnsiTheme="majorBidi" w:cstheme="majorBidi"/>
        </w:rPr>
        <w:t xml:space="preserve"> infected with S</w:t>
      </w:r>
      <w:r w:rsidR="00503F80">
        <w:rPr>
          <w:rFonts w:asciiTheme="majorBidi" w:hAnsiTheme="majorBidi" w:cstheme="majorBidi"/>
        </w:rPr>
        <w:t>.</w:t>
      </w:r>
      <w:r w:rsidR="000B7910" w:rsidRPr="00693F16">
        <w:rPr>
          <w:rFonts w:asciiTheme="majorBidi" w:hAnsiTheme="majorBidi" w:cstheme="majorBidi"/>
        </w:rPr>
        <w:t>.aureus (MRSA) and Pseudomonas</w:t>
      </w:r>
      <w:r w:rsidR="00014B5B" w:rsidRPr="00693F16">
        <w:rPr>
          <w:rFonts w:asciiTheme="majorBidi" w:hAnsiTheme="majorBidi" w:cstheme="majorBidi"/>
        </w:rPr>
        <w:t xml:space="preserve"> aeruginosa throughout the</w:t>
      </w:r>
      <w:r w:rsidR="002B5D5B">
        <w:rPr>
          <w:rFonts w:asciiTheme="majorBidi" w:hAnsiTheme="majorBidi" w:cstheme="majorBidi"/>
        </w:rPr>
        <w:t xml:space="preserve"> second week post burn</w:t>
      </w:r>
      <w:r w:rsidR="009216BF" w:rsidRPr="00693F16">
        <w:rPr>
          <w:rFonts w:asciiTheme="majorBidi" w:hAnsiTheme="majorBidi" w:cstheme="majorBidi"/>
        </w:rPr>
        <w:t>.</w:t>
      </w:r>
    </w:p>
    <w:p w:rsidR="003501B5" w:rsidRPr="00693F16" w:rsidRDefault="003501B5" w:rsidP="003501B5">
      <w:pPr>
        <w:bidi w:val="0"/>
        <w:spacing w:line="360" w:lineRule="auto"/>
        <w:ind w:firstLine="720"/>
        <w:rPr>
          <w:rFonts w:asciiTheme="majorBidi" w:hAnsiTheme="majorBidi" w:cstheme="majorBidi"/>
        </w:rPr>
      </w:pPr>
    </w:p>
    <w:p w:rsidR="003501B5" w:rsidRPr="00693F16" w:rsidRDefault="003501B5" w:rsidP="008466D5">
      <w:pPr>
        <w:bidi w:val="0"/>
        <w:spacing w:line="360" w:lineRule="auto"/>
        <w:ind w:firstLine="720"/>
        <w:rPr>
          <w:rFonts w:asciiTheme="majorBidi" w:hAnsiTheme="majorBidi" w:cstheme="majorBidi"/>
        </w:rPr>
      </w:pPr>
      <w:r w:rsidRPr="00693F16">
        <w:rPr>
          <w:rFonts w:asciiTheme="majorBidi" w:hAnsiTheme="majorBidi" w:cstheme="majorBidi"/>
          <w:b/>
          <w:bCs/>
          <w:lang w:bidi="ar-IQ"/>
        </w:rPr>
        <w:t>Conclusion</w:t>
      </w:r>
      <w:r w:rsidR="00F30DEE" w:rsidRPr="00693F16">
        <w:rPr>
          <w:rFonts w:asciiTheme="majorBidi" w:hAnsiTheme="majorBidi" w:cstheme="majorBidi"/>
          <w:b/>
          <w:bCs/>
          <w:lang w:bidi="ar-IQ"/>
        </w:rPr>
        <w:t xml:space="preserve"> and recommendations</w:t>
      </w:r>
      <w:r w:rsidR="002B5D5B">
        <w:rPr>
          <w:rFonts w:asciiTheme="majorBidi" w:hAnsiTheme="majorBidi" w:cstheme="majorBidi"/>
          <w:lang w:bidi="ar-IQ"/>
        </w:rPr>
        <w:t>; Many laboratory and microbial parameter changes occur in the early phases of post burning of which</w:t>
      </w:r>
      <w:r w:rsidRPr="00693F16">
        <w:rPr>
          <w:rFonts w:asciiTheme="majorBidi" w:hAnsiTheme="majorBidi" w:cstheme="majorBidi"/>
          <w:lang w:bidi="ar-IQ"/>
        </w:rPr>
        <w:t xml:space="preserve"> Leukocytosis can be a good predictor for infection in burns, especially when it happens in the second week and more</w:t>
      </w:r>
      <w:r w:rsidRPr="00693F16">
        <w:rPr>
          <w:rFonts w:asciiTheme="majorBidi" w:hAnsiTheme="majorBidi" w:cstheme="majorBidi"/>
          <w:rtl/>
          <w:lang w:bidi="ar-IQ"/>
        </w:rPr>
        <w:t>.</w:t>
      </w:r>
      <w:r w:rsidRPr="00693F16">
        <w:rPr>
          <w:rFonts w:asciiTheme="majorBidi" w:hAnsiTheme="majorBidi" w:cstheme="majorBidi"/>
          <w:lang w:bidi="ar-IQ"/>
        </w:rPr>
        <w:t xml:space="preserve"> But it cannot  distinguish gram negative from </w:t>
      </w:r>
      <w:r w:rsidRPr="00693F16">
        <w:rPr>
          <w:rFonts w:asciiTheme="majorBidi" w:hAnsiTheme="majorBidi" w:cstheme="majorBidi"/>
          <w:lang w:bidi="ar-IQ"/>
        </w:rPr>
        <w:lastRenderedPageBreak/>
        <w:t xml:space="preserve">gram </w:t>
      </w:r>
      <w:r w:rsidR="00F30DEE" w:rsidRPr="00693F16">
        <w:rPr>
          <w:rFonts w:asciiTheme="majorBidi" w:hAnsiTheme="majorBidi" w:cstheme="majorBidi"/>
          <w:lang w:bidi="ar-IQ"/>
        </w:rPr>
        <w:t>positive</w:t>
      </w:r>
      <w:r w:rsidRPr="00693F16">
        <w:rPr>
          <w:rFonts w:asciiTheme="majorBidi" w:hAnsiTheme="majorBidi" w:cstheme="majorBidi"/>
          <w:lang w:bidi="ar-IQ"/>
        </w:rPr>
        <w:t xml:space="preserve"> infections</w:t>
      </w:r>
      <w:r w:rsidR="00F30DEE" w:rsidRPr="00693F16">
        <w:rPr>
          <w:rFonts w:asciiTheme="majorBidi" w:hAnsiTheme="majorBidi" w:cstheme="majorBidi"/>
        </w:rPr>
        <w:t>.</w:t>
      </w:r>
      <w:r w:rsidRPr="00693F16">
        <w:rPr>
          <w:rFonts w:asciiTheme="majorBidi" w:hAnsiTheme="majorBidi" w:cstheme="majorBidi"/>
        </w:rPr>
        <w:t xml:space="preserve"> To have basic background parameters for the patients and do regular rechecks to detect any change in the laboratory parameters as soon as they happen, infections in burns can be detected or suspected when subtle changes happ</w:t>
      </w:r>
      <w:r w:rsidR="002B5D5B">
        <w:rPr>
          <w:rFonts w:asciiTheme="majorBidi" w:hAnsiTheme="majorBidi" w:cstheme="majorBidi"/>
        </w:rPr>
        <w:t xml:space="preserve">en in these </w:t>
      </w:r>
      <w:r w:rsidRPr="00693F16">
        <w:rPr>
          <w:rFonts w:asciiTheme="majorBidi" w:hAnsiTheme="majorBidi" w:cstheme="majorBidi"/>
        </w:rPr>
        <w:t>findings.</w:t>
      </w:r>
    </w:p>
    <w:p w:rsidR="006366E4" w:rsidRPr="00282D55" w:rsidRDefault="006366E4" w:rsidP="009216BF">
      <w:pPr>
        <w:bidi w:val="0"/>
        <w:spacing w:line="360" w:lineRule="auto"/>
      </w:pPr>
    </w:p>
    <w:p w:rsidR="00F04C23" w:rsidRDefault="00DC349F" w:rsidP="00F04C23">
      <w:pPr>
        <w:pStyle w:val="Heading1"/>
        <w:bidi w:val="0"/>
        <w:spacing w:line="360" w:lineRule="auto"/>
        <w:jc w:val="center"/>
        <w:rPr>
          <w:color w:val="auto"/>
        </w:rPr>
      </w:pPr>
      <w:bookmarkStart w:id="3" w:name="_Toc36963310"/>
      <w:r w:rsidRPr="00282D55">
        <w:rPr>
          <w:color w:val="auto"/>
        </w:rPr>
        <w:t>Introduction</w:t>
      </w:r>
      <w:bookmarkEnd w:id="3"/>
    </w:p>
    <w:p w:rsidR="004A4920" w:rsidRPr="00282D55" w:rsidRDefault="00C5315D" w:rsidP="00DD18CF">
      <w:pPr>
        <w:pStyle w:val="Heading1"/>
        <w:bidi w:val="0"/>
        <w:spacing w:line="360" w:lineRule="auto"/>
        <w:ind w:left="3600" w:firstLine="720"/>
        <w:rPr>
          <w:color w:val="auto"/>
        </w:rPr>
      </w:pPr>
      <w:bookmarkStart w:id="4" w:name="_Toc36963311"/>
      <w:r w:rsidRPr="00282D55">
        <w:rPr>
          <w:color w:val="auto"/>
          <w:lang w:bidi="ar-IQ"/>
        </w:rPr>
        <w:t>Background</w:t>
      </w:r>
      <w:bookmarkEnd w:id="4"/>
    </w:p>
    <w:p w:rsidR="007524AF" w:rsidRPr="00282D55" w:rsidRDefault="00820ED5" w:rsidP="00F30DEE">
      <w:pPr>
        <w:bidi w:val="0"/>
        <w:spacing w:line="360" w:lineRule="auto"/>
        <w:ind w:firstLine="720"/>
        <w:rPr>
          <w:lang w:bidi="ar-IQ"/>
        </w:rPr>
      </w:pPr>
      <w:r w:rsidRPr="00282D55">
        <w:rPr>
          <w:lang w:bidi="ar-IQ"/>
        </w:rPr>
        <w:t>The skin is</w:t>
      </w:r>
      <w:r w:rsidR="00756D51" w:rsidRPr="00282D55">
        <w:rPr>
          <w:lang w:bidi="ar-IQ"/>
        </w:rPr>
        <w:t xml:space="preserve"> the largest</w:t>
      </w:r>
      <w:r w:rsidRPr="00282D55">
        <w:rPr>
          <w:lang w:bidi="ar-IQ"/>
        </w:rPr>
        <w:t xml:space="preserve"> organ of the body, i</w:t>
      </w:r>
      <w:r w:rsidR="00695837" w:rsidRPr="00282D55">
        <w:rPr>
          <w:lang w:bidi="ar-IQ"/>
        </w:rPr>
        <w:t>t functions as a sensory</w:t>
      </w:r>
      <w:r w:rsidRPr="00282D55">
        <w:rPr>
          <w:lang w:bidi="ar-IQ"/>
        </w:rPr>
        <w:t xml:space="preserve"> organ and protects against the invasion of foreign bodies and organisms. </w:t>
      </w:r>
      <w:r w:rsidR="006357E3" w:rsidRPr="00282D55">
        <w:rPr>
          <w:lang w:bidi="ar-IQ"/>
        </w:rPr>
        <w:fldChar w:fldCharType="begin"/>
      </w:r>
      <w:r w:rsidR="00924872">
        <w:rPr>
          <w:lang w:bidi="ar-IQ"/>
        </w:rPr>
        <w:instrText xml:space="preserve"> ADDIN EN.CITE &lt;EndNote&gt;&lt;Cite&gt;&lt;Author&gt;Kalafa&lt;/Author&gt;&lt;Year&gt;2017&lt;/Year&gt;&lt;RecNum&gt;70&lt;/RecNum&gt;&lt;DisplayText&gt;(1, 2)&lt;/DisplayText&gt;&lt;record&gt;&lt;rec-number&gt;70&lt;/rec-number&gt;&lt;foreign-keys&gt;&lt;key app="EN" db-id="fpxxxaz24vpvwoe50sfxpwvpvx2s0wfs9dse" timestamp="1585762476"&gt;70&lt;/key&gt;&lt;/foreign-keys&gt;&lt;ref-type name="Journal Article"&gt;17&lt;/ref-type&gt;&lt;contributors&gt;&lt;authors&gt;&lt;author&gt;Kalafa, EA Growney&lt;/author&gt;&lt;author&gt;Hixona, KR&lt;/author&gt;&lt;author&gt;Kadakia, PU&lt;/author&gt;&lt;author&gt;Dunn, AJ&lt;/author&gt;&lt;author&gt;Sell, SA&lt;/author&gt;&lt;/authors&gt;&lt;/contributors&gt;&lt;titles&gt;&lt;title&gt;9.1. 1 Skin anatomy and physiology&lt;/title&gt;&lt;secondary-title&gt;Electrospun Materials for Tissue Engineering and Biomedical Applications: Research, Design and Commercialization&lt;/secondary-title&gt;&lt;/titles&gt;&lt;periodical&gt;&lt;full-title&gt;Electrospun Materials for Tissue Engineering and Biomedical Applications: Research, Design and Commercialization&lt;/full-title&gt;&lt;/periodical&gt;&lt;pages&gt;179&lt;/pages&gt;&lt;dates&gt;&lt;year&gt;2017&lt;/year&gt;&lt;/dates&gt;&lt;isbn&gt;0081022220&lt;/isbn&gt;&lt;urls&gt;&lt;/urls&gt;&lt;/record&gt;&lt;/Cite&gt;&lt;Cite&gt;&lt;Author&gt;Wong&lt;/Author&gt;&lt;Year&gt;2016&lt;/Year&gt;&lt;RecNum&gt;72&lt;/RecNum&gt;&lt;record&gt;&lt;rec-number&gt;72&lt;/rec-number&gt;&lt;foreign-keys&gt;&lt;key app="EN" db-id="fpxxxaz24vpvwoe50sfxpwvpvx2s0wfs9dse" timestamp="1585770000"&gt;72&lt;/key&gt;&lt;/foreign-keys&gt;&lt;ref-type name="Journal Article"&gt;17&lt;/ref-type&gt;&lt;contributors&gt;&lt;authors&gt;&lt;author&gt;Wong, Richard&lt;/author&gt;&lt;author&gt;Geyer, Stefan&lt;/author&gt;&lt;author&gt;Weninger, Wolfgang&lt;/author&gt;&lt;author&gt;Guimberteau, Jean‐Claude&lt;/author&gt;&lt;author&gt;Wong, Jason K&lt;/author&gt;&lt;/authors&gt;&lt;/contributors&gt;&lt;titles&gt;&lt;title&gt;The dynamic anatomy and patterning of skin&lt;/title&gt;&lt;secondary-title&gt;Experimental dermatology&lt;/secondary-title&gt;&lt;/titles&gt;&lt;periodical&gt;&lt;full-title&gt;Experimental dermatology&lt;/full-title&gt;&lt;/periodical&gt;&lt;pages&gt;92-98&lt;/pages&gt;&lt;volume&gt;25&lt;/volume&gt;&lt;number&gt;2&lt;/number&gt;&lt;dates&gt;&lt;year&gt;2016&lt;/year&gt;&lt;/dates&gt;&lt;isbn&gt;0906-6705&lt;/isbn&gt;&lt;urls&gt;&lt;/urls&gt;&lt;/record&gt;&lt;/Cite&gt;&lt;/EndNote&gt;</w:instrText>
      </w:r>
      <w:r w:rsidR="006357E3" w:rsidRPr="00282D55">
        <w:rPr>
          <w:lang w:bidi="ar-IQ"/>
        </w:rPr>
        <w:fldChar w:fldCharType="separate"/>
      </w:r>
      <w:r w:rsidR="0074193C" w:rsidRPr="00282D55">
        <w:rPr>
          <w:noProof/>
          <w:lang w:bidi="ar-IQ"/>
        </w:rPr>
        <w:t>(1, 2)</w:t>
      </w:r>
      <w:r w:rsidR="006357E3" w:rsidRPr="00282D55">
        <w:rPr>
          <w:lang w:bidi="ar-IQ"/>
        </w:rPr>
        <w:fldChar w:fldCharType="end"/>
      </w:r>
      <w:r w:rsidR="0046209D">
        <w:rPr>
          <w:lang w:bidi="ar-IQ"/>
        </w:rPr>
        <w:t>,</w:t>
      </w:r>
      <w:r w:rsidR="002D267A" w:rsidRPr="00282D55">
        <w:rPr>
          <w:lang w:bidi="ar-IQ"/>
        </w:rPr>
        <w:t>it’s</w:t>
      </w:r>
      <w:r w:rsidR="00F30DEE">
        <w:rPr>
          <w:lang w:bidi="ar-IQ"/>
        </w:rPr>
        <w:t xml:space="preserve"> burn is</w:t>
      </w:r>
      <w:r w:rsidR="002D267A" w:rsidRPr="00282D55">
        <w:rPr>
          <w:lang w:bidi="ar-IQ"/>
        </w:rPr>
        <w:t xml:space="preserve"> one of the most severe form of</w:t>
      </w:r>
      <w:r w:rsidR="003837C2" w:rsidRPr="00282D55">
        <w:rPr>
          <w:lang w:bidi="ar-IQ"/>
        </w:rPr>
        <w:t xml:space="preserve"> trauma that has affected mankind since the beginning of time,</w:t>
      </w:r>
      <w:r w:rsidR="00FC7E25" w:rsidRPr="00282D55">
        <w:rPr>
          <w:lang w:bidi="ar-IQ"/>
        </w:rPr>
        <w:t xml:space="preserve"> but the development of since and medicine has led to more sufficient treatment and decreased mortality rate.</w:t>
      </w:r>
      <w:r w:rsidR="006357E3" w:rsidRPr="00282D55">
        <w:rPr>
          <w:lang w:bidi="ar-IQ"/>
        </w:rPr>
        <w:fldChar w:fldCharType="begin"/>
      </w:r>
      <w:r w:rsidR="0074193C" w:rsidRPr="00282D55">
        <w:rPr>
          <w:lang w:bidi="ar-IQ"/>
        </w:rPr>
        <w:instrText xml:space="preserve"> ADDIN EN.CITE &lt;EndNote&gt;&lt;Cite&gt;&lt;Author&gt;Hettiaratchy&lt;/Author&gt;&lt;Year&gt;2004&lt;/Year&gt;&lt;RecNum&gt;3&lt;/RecNum&gt;&lt;DisplayText&gt;(3)&lt;/DisplayText&gt;&lt;record&gt;&lt;rec-number&gt;3&lt;/rec-number&gt;&lt;foreign-keys&gt;&lt;key app="EN" db-id="fpxxxaz24vpvwoe50sfxpwvpvx2s0wfs9dse" timestamp="1580406089"&gt;3&lt;/key&gt;&lt;/foreign-keys&gt;&lt;ref-type name="Journal Article"&gt;17&lt;/ref-type&gt;&lt;contributors&gt;&lt;authors&gt;&lt;author&gt;Hettiaratchy, Shehan&lt;/author&gt;&lt;author&gt;Dziewulski, Peter&lt;/author&gt;&lt;/authors&gt;&lt;/contributors&gt;&lt;titles&gt;&lt;title&gt;ABC of burns: Introduction&lt;/title&gt;&lt;secondary-title&gt;BMJ: British Medical Journal&lt;/secondary-title&gt;&lt;/titles&gt;&lt;periodical&gt;&lt;full-title&gt;BMJ: British Medical Journal&lt;/full-title&gt;&lt;/periodical&gt;&lt;pages&gt;1366&lt;/pages&gt;&lt;volume&gt;328&lt;/volume&gt;&lt;number&gt;7452&lt;/number&gt;&lt;dates&gt;&lt;year&gt;2004&lt;/year&gt;&lt;/dates&gt;&lt;urls&gt;&lt;/urls&gt;&lt;/record&gt;&lt;/Cite&gt;&lt;/EndNote&gt;</w:instrText>
      </w:r>
      <w:r w:rsidR="006357E3" w:rsidRPr="00282D55">
        <w:rPr>
          <w:lang w:bidi="ar-IQ"/>
        </w:rPr>
        <w:fldChar w:fldCharType="separate"/>
      </w:r>
      <w:r w:rsidR="0074193C" w:rsidRPr="00282D55">
        <w:rPr>
          <w:noProof/>
          <w:lang w:bidi="ar-IQ"/>
        </w:rPr>
        <w:t>(3)</w:t>
      </w:r>
      <w:r w:rsidR="006357E3" w:rsidRPr="00282D55">
        <w:rPr>
          <w:lang w:bidi="ar-IQ"/>
        </w:rPr>
        <w:fldChar w:fldCharType="end"/>
      </w:r>
      <w:r w:rsidR="0046209D">
        <w:rPr>
          <w:lang w:bidi="ar-IQ"/>
        </w:rPr>
        <w:t xml:space="preserve">. </w:t>
      </w:r>
      <w:r w:rsidR="00BB5120" w:rsidRPr="00282D55">
        <w:rPr>
          <w:lang w:bidi="ar-IQ"/>
        </w:rPr>
        <w:t>Thermal burns are the most common type of burn, composing about 86% of the burned patien</w:t>
      </w:r>
      <w:r w:rsidR="008E3CD9">
        <w:rPr>
          <w:lang w:bidi="ar-IQ"/>
        </w:rPr>
        <w:t>ts that require hospitalization</w:t>
      </w:r>
      <w:r w:rsidR="00BB5120" w:rsidRPr="00282D55">
        <w:rPr>
          <w:lang w:bidi="ar-IQ"/>
        </w:rPr>
        <w:t>.</w:t>
      </w:r>
      <w:r w:rsidR="006357E3" w:rsidRPr="00282D55">
        <w:rPr>
          <w:lang w:bidi="ar-IQ"/>
        </w:rPr>
        <w:fldChar w:fldCharType="begin"/>
      </w:r>
      <w:r w:rsidR="0074193C" w:rsidRPr="00282D55">
        <w:rPr>
          <w:lang w:bidi="ar-IQ"/>
        </w:rPr>
        <w:instrText xml:space="preserve"> ADDIN EN.CITE &lt;EndNote&gt;&lt;Cite&gt;&lt;Author&gt;Cobb Cynthia&lt;/Author&gt;&lt;Year&gt;December 17, 2018&lt;/Year&gt;&lt;RecNum&gt;26&lt;/RecNum&gt;&lt;DisplayText&gt;(6)&lt;/DisplayText&gt;&lt;record&gt;&lt;rec-number&gt;26&lt;/rec-number&gt;&lt;foreign-keys&gt;&lt;key app="EN" db-id="fpxxxaz24vpvwoe50sfxpwvpvx2s0wfs9dse" timestamp="1580483693"&gt;26&lt;/key&gt;&lt;/foreign-keys&gt;&lt;ref-type name="Journal Article"&gt;17&lt;/ref-type&gt;&lt;contributors&gt;&lt;authors&gt;&lt;author&gt;Cobb Cynthia,&lt;/author&gt;&lt;/authors&gt;&lt;/contributors&gt;&lt;titles&gt;&lt;title&gt;Chemical Burns&lt;/title&gt;&lt;secondary-title&gt;Healthline&lt;/secondary-title&gt;&lt;/titles&gt;&lt;periodical&gt;&lt;full-title&gt;Healthline&lt;/full-title&gt;&lt;/periodical&gt;&lt;dates&gt;&lt;year&gt;December 17, 2018&lt;/year&gt;&lt;/dates&gt;&lt;urls&gt;&lt;related-urls&gt;&lt;url&gt;https://www.healthline.com/health/chemical-burn-or-reaction&lt;/url&gt;&lt;/related-urls&gt;&lt;/urls&gt;&lt;access-date&gt;January 30, 2020&lt;/access-date&gt;&lt;/record&gt;&lt;/Cite&gt;&lt;/EndNote&gt;</w:instrText>
      </w:r>
      <w:r w:rsidR="006357E3" w:rsidRPr="00282D55">
        <w:rPr>
          <w:lang w:bidi="ar-IQ"/>
        </w:rPr>
        <w:fldChar w:fldCharType="separate"/>
      </w:r>
      <w:r w:rsidR="0074193C" w:rsidRPr="00282D55">
        <w:rPr>
          <w:noProof/>
          <w:lang w:bidi="ar-IQ"/>
        </w:rPr>
        <w:t>(</w:t>
      </w:r>
      <w:r w:rsidR="00F30DEE">
        <w:rPr>
          <w:noProof/>
          <w:lang w:bidi="ar-IQ"/>
        </w:rPr>
        <w:t>4,5,</w:t>
      </w:r>
      <w:r w:rsidR="0074193C" w:rsidRPr="00282D55">
        <w:rPr>
          <w:noProof/>
          <w:lang w:bidi="ar-IQ"/>
        </w:rPr>
        <w:t>6)</w:t>
      </w:r>
      <w:r w:rsidR="006357E3" w:rsidRPr="00282D55">
        <w:rPr>
          <w:lang w:bidi="ar-IQ"/>
        </w:rPr>
        <w:fldChar w:fldCharType="end"/>
      </w:r>
    </w:p>
    <w:p w:rsidR="00E3245D" w:rsidRPr="00282D55" w:rsidRDefault="00F30DEE" w:rsidP="0046209D">
      <w:pPr>
        <w:pStyle w:val="Heading2"/>
        <w:bidi w:val="0"/>
        <w:spacing w:line="360" w:lineRule="auto"/>
        <w:rPr>
          <w:lang w:bidi="ar-IQ"/>
        </w:rPr>
      </w:pPr>
      <w:r>
        <w:rPr>
          <w:rFonts w:asciiTheme="majorBidi" w:hAnsiTheme="majorBidi"/>
          <w:b w:val="0"/>
          <w:bCs w:val="0"/>
          <w:color w:val="auto"/>
          <w:lang w:bidi="ar-IQ"/>
        </w:rPr>
        <w:t>Electrical, chemical, and sun are lesser but important caused of burns in human</w:t>
      </w:r>
      <w:r w:rsidR="00693F16">
        <w:rPr>
          <w:rFonts w:asciiTheme="majorBidi" w:hAnsiTheme="majorBidi"/>
          <w:b w:val="0"/>
          <w:bCs w:val="0"/>
          <w:color w:val="auto"/>
          <w:lang w:bidi="ar-IQ"/>
        </w:rPr>
        <w:t xml:space="preserve"> with variable depth of injury accordingly</w:t>
      </w:r>
      <w:r w:rsidR="006357E3" w:rsidRPr="0046209D">
        <w:rPr>
          <w:b w:val="0"/>
          <w:bCs w:val="0"/>
          <w:color w:val="auto"/>
          <w:lang w:bidi="ar-IQ"/>
        </w:rPr>
        <w:fldChar w:fldCharType="begin"/>
      </w:r>
      <w:r w:rsidR="0074193C" w:rsidRPr="0046209D">
        <w:rPr>
          <w:b w:val="0"/>
          <w:bCs w:val="0"/>
          <w:color w:val="auto"/>
          <w:lang w:bidi="ar-IQ"/>
        </w:rPr>
        <w:instrText xml:space="preserve"> ADDIN EN.CITE &lt;EndNote&gt;&lt;Cite&gt;&lt;Author&gt;Trauma &amp;amp; Emergency Medicine&lt;/Author&gt;&lt;Year&gt;September 1, 2017&lt;/Year&gt;&lt;RecNum&gt;20&lt;/RecNum&gt;&lt;DisplayText&gt;(9)&lt;/DisplayText&gt;&lt;record&gt;&lt;rec-number&gt;20&lt;/rec-number&gt;&lt;foreign-keys&gt;&lt;key app="EN" db-id="fpxxxaz24vpvwoe50sfxpwvpvx2s0wfs9dse" timestamp="1580476765"&gt;20&lt;/key&gt;&lt;/foreign-keys&gt;&lt;ref-type name="Journal Article"&gt;17&lt;/ref-type&gt;&lt;contributors&gt;&lt;authors&gt;&lt;author&gt;Trauma &amp;amp; Emergency Medicine,&lt;/author&gt;&lt;/authors&gt;&lt;/contributors&gt;&lt;titles&gt;&lt;title&gt;Types of Burns: Thermal, Electrical, and More&lt;/title&gt;&lt;secondary-title&gt;UPMC HealthBeat&lt;/secondary-title&gt;&lt;/titles&gt;&lt;periodical&gt;&lt;full-title&gt;UPMC HealthBeat&lt;/full-title&gt;&lt;/periodical&gt;&lt;dates&gt;&lt;year&gt;September 1, 2017&lt;/year&gt;&lt;/dates&gt;&lt;urls&gt;&lt;related-urls&gt;&lt;url&gt;https://share.upmc.com/2017/09/different-types-of-burns/&lt;/url&gt;&lt;/related-urls&gt;&lt;/urls&gt;&lt;access-date&gt;January 30, 2020&lt;/access-date&gt;&lt;/record&gt;&lt;/Cite&gt;&lt;/EndNote&gt;</w:instrText>
      </w:r>
      <w:r w:rsidR="006357E3" w:rsidRPr="0046209D">
        <w:rPr>
          <w:b w:val="0"/>
          <w:bCs w:val="0"/>
          <w:color w:val="auto"/>
          <w:lang w:bidi="ar-IQ"/>
        </w:rPr>
        <w:fldChar w:fldCharType="separate"/>
      </w:r>
      <w:r w:rsidR="0074193C" w:rsidRPr="0046209D">
        <w:rPr>
          <w:b w:val="0"/>
          <w:bCs w:val="0"/>
          <w:noProof/>
          <w:color w:val="auto"/>
          <w:lang w:bidi="ar-IQ"/>
        </w:rPr>
        <w:t>(</w:t>
      </w:r>
      <w:r w:rsidR="00693F16">
        <w:rPr>
          <w:b w:val="0"/>
          <w:bCs w:val="0"/>
          <w:noProof/>
          <w:color w:val="auto"/>
          <w:lang w:bidi="ar-IQ"/>
        </w:rPr>
        <w:t>7-12</w:t>
      </w:r>
      <w:r w:rsidR="0074193C" w:rsidRPr="0046209D">
        <w:rPr>
          <w:b w:val="0"/>
          <w:bCs w:val="0"/>
          <w:noProof/>
          <w:color w:val="auto"/>
          <w:lang w:bidi="ar-IQ"/>
        </w:rPr>
        <w:t>)</w:t>
      </w:r>
      <w:r w:rsidR="006357E3" w:rsidRPr="0046209D">
        <w:rPr>
          <w:b w:val="0"/>
          <w:bCs w:val="0"/>
          <w:color w:val="auto"/>
          <w:lang w:bidi="ar-IQ"/>
        </w:rPr>
        <w:fldChar w:fldCharType="end"/>
      </w:r>
      <w:r w:rsidR="00693F16">
        <w:rPr>
          <w:lang w:bidi="ar-IQ"/>
        </w:rPr>
        <w:t>.</w:t>
      </w:r>
    </w:p>
    <w:p w:rsidR="00DC349F" w:rsidRPr="00282D55" w:rsidRDefault="0059100C" w:rsidP="00693F16">
      <w:pPr>
        <w:bidi w:val="0"/>
        <w:spacing w:line="360" w:lineRule="auto"/>
        <w:ind w:firstLine="720"/>
        <w:rPr>
          <w:lang w:bidi="ar-IQ"/>
        </w:rPr>
      </w:pPr>
      <w:r w:rsidRPr="00282D55">
        <w:rPr>
          <w:lang w:bidi="ar-IQ"/>
        </w:rPr>
        <w:t>Estimation of burn parts of the body may not be done accurately even by expert physicians</w:t>
      </w:r>
      <w:r w:rsidR="00693F16">
        <w:rPr>
          <w:lang w:bidi="ar-IQ"/>
        </w:rPr>
        <w:t xml:space="preserve"> making degree and severity calculations entiteled by many formulations and categorization authorities (13-19)</w:t>
      </w:r>
    </w:p>
    <w:p w:rsidR="00C20C18" w:rsidRPr="00282D55" w:rsidRDefault="00C20C18" w:rsidP="00F4352E">
      <w:pPr>
        <w:pStyle w:val="ListParagraph"/>
        <w:bidi w:val="0"/>
        <w:spacing w:line="360" w:lineRule="auto"/>
        <w:ind w:left="0" w:firstLine="720"/>
      </w:pPr>
      <w:r w:rsidRPr="00282D55">
        <w:t>A study</w:t>
      </w:r>
      <w:r w:rsidR="00876E6B">
        <w:t xml:space="preserve">,USA, </w:t>
      </w:r>
      <w:r w:rsidR="003963AA" w:rsidRPr="00282D55">
        <w:t xml:space="preserve"> results showed </w:t>
      </w:r>
      <w:r w:rsidR="0008213D" w:rsidRPr="00282D55">
        <w:t>over t</w:t>
      </w:r>
      <w:r w:rsidR="00D322EC">
        <w:t xml:space="preserve">he first week after injury, Hb </w:t>
      </w:r>
      <w:r w:rsidR="0008213D" w:rsidRPr="00282D55">
        <w:t>and HCT decreased. This decrease was due to loss of red blood cells. WBC counts was initially elevated but decreased over the first 4 days. PLT also decreased over the first 4 days</w:t>
      </w:r>
      <w:r w:rsidR="00E94F1A" w:rsidRPr="00282D55">
        <w:t>. Non-su</w:t>
      </w:r>
      <w:r w:rsidR="00D322EC">
        <w:t>rvivors had lower Hb, HCT,</w:t>
      </w:r>
      <w:r w:rsidR="00E94F1A" w:rsidRPr="00282D55">
        <w:t xml:space="preserve"> and PLT over the first week compared to survivors. Non-survivors had higher WBC compared to survivors</w:t>
      </w:r>
      <w:r w:rsidR="0008213D" w:rsidRPr="00282D55">
        <w:t>.</w:t>
      </w:r>
      <w:r w:rsidR="006357E3" w:rsidRPr="00282D55">
        <w:fldChar w:fldCharType="begin"/>
      </w:r>
      <w:r w:rsidR="00924872">
        <w:instrText xml:space="preserve"> ADDIN EN.CITE &lt;EndNote&gt;&lt;Cite&gt;&lt;Author&gt;Sen&lt;/Author&gt;&lt;Year&gt;2019&lt;/Year&gt;&lt;RecNum&gt;34&lt;/RecNum&gt;&lt;DisplayText&gt;(20)&lt;/DisplayText&gt;&lt;record&gt;&lt;rec-number&gt;34&lt;/rec-number&gt;&lt;foreign-keys&gt;&lt;key app="EN" db-id="fpxxxaz24vpvwoe50sfxpwvpvx2s0wfs9dse" timestamp="1582816633"&gt;34&lt;/key&gt;&lt;/foreign-keys&gt;&lt;ref-type name="Journal Article"&gt;17&lt;/ref-type&gt;&lt;contributors&gt;&lt;authors&gt;&lt;author&gt;Sen, Soman&lt;/author&gt;&lt;author&gt;Hsei, Luke&lt;/author&gt;&lt;author&gt;Tran, Nam&lt;/author&gt;&lt;author&gt;Romanowski, Kathleen&lt;/author&gt;&lt;author&gt;Palmieri, Tina&lt;/author&gt;&lt;author&gt;Greenhalgh, David&lt;/author&gt;&lt;author&gt;Cho, Kiho&lt;/author&gt;&lt;/authors&gt;&lt;/contributors&gt;&lt;titles&gt;&lt;title&gt;Early clinical complete blood count changes in severe burn injuries&lt;/title&gt;&lt;secondary-title&gt;Burns&lt;/secondary-title&gt;&lt;/titles&gt;&lt;periodical&gt;&lt;full-title&gt;Burns&lt;/full-title&gt;&lt;/periodical&gt;&lt;pages&gt;97-102&lt;/pages&gt;&lt;volume&gt;45&lt;/volume&gt;&lt;number&gt;1&lt;/number&gt;&lt;dates&gt;&lt;year&gt;2019&lt;/year&gt;&lt;/dates&gt;&lt;isbn&gt;0305-4179&lt;/isbn&gt;&lt;urls&gt;&lt;/urls&gt;&lt;/record&gt;&lt;/Cite&gt;&lt;/EndNote&gt;</w:instrText>
      </w:r>
      <w:r w:rsidR="006357E3" w:rsidRPr="00282D55">
        <w:fldChar w:fldCharType="separate"/>
      </w:r>
      <w:r w:rsidR="0074193C" w:rsidRPr="00282D55">
        <w:rPr>
          <w:noProof/>
        </w:rPr>
        <w:t>(20)</w:t>
      </w:r>
      <w:r w:rsidR="006357E3" w:rsidRPr="00282D55">
        <w:fldChar w:fldCharType="end"/>
      </w:r>
    </w:p>
    <w:p w:rsidR="00E94F1A" w:rsidRPr="00282D55" w:rsidRDefault="00E94F1A" w:rsidP="00DD18CF">
      <w:pPr>
        <w:pStyle w:val="ListParagraph"/>
        <w:bidi w:val="0"/>
        <w:spacing w:line="360" w:lineRule="auto"/>
        <w:ind w:left="0" w:firstLine="720"/>
      </w:pPr>
      <w:r w:rsidRPr="00282D55">
        <w:t xml:space="preserve">Another study </w:t>
      </w:r>
      <w:r w:rsidR="003E4CE7" w:rsidRPr="00282D55">
        <w:t xml:space="preserve"> in Iraq</w:t>
      </w:r>
      <w:r w:rsidR="00F4352E">
        <w:t xml:space="preserve">; </w:t>
      </w:r>
      <w:r w:rsidR="003E4CE7" w:rsidRPr="00282D55">
        <w:t>The total WBC count began to increase immediately after burn injury and reach the peak within 12 hours and then decreased at days 3 to 4 and then began increasing, this fluctuation in leukocyte count is due to dramatic changes within the first 72 hours after burn injury and it depends on burn size.</w:t>
      </w:r>
      <w:r w:rsidR="006357E3" w:rsidRPr="00282D55">
        <w:fldChar w:fldCharType="begin"/>
      </w:r>
      <w:r w:rsidR="0074193C" w:rsidRPr="00282D55">
        <w:instrText xml:space="preserve"> ADDIN EN.CITE &lt;EndNote&gt;&lt;Cite&gt;&lt;Author&gt;Jasem&lt;/Author&gt;&lt;Year&gt;2017&lt;/Year&gt;&lt;RecNum&gt;37&lt;/RecNum&gt;&lt;DisplayText&gt;(21)&lt;/DisplayText&gt;&lt;record&gt;&lt;rec-number&gt;37&lt;/rec-number&gt;&lt;foreign-keys&gt;&lt;key app="EN" db-id="fpxxxaz24vpvwoe50sfxpwvpvx2s0wfs9dse" timestamp="1582823348"&gt;37&lt;/key&gt;&lt;/foreign-keys&gt;&lt;ref-type name="Journal Article"&gt;17&lt;/ref-type&gt;&lt;contributors&gt;&lt;authors&gt;&lt;author&gt;Jasem, Meroj A&lt;/author&gt;&lt;author&gt;Mahmood, Ayser E&lt;/author&gt;&lt;author&gt;AL-Ubadi, Alia E&lt;/author&gt;&lt;author&gt;AL-Bahadli, Abbas&lt;/author&gt;&lt;/authors&gt;&lt;/contributors&gt;&lt;titles&gt;&lt;title&gt;SERUM PROCALCITONIN CONCENTRATION VS. TOTAL AND DIFFERENTIAL WHITE BLOOD CELL COUNT IN IRAQI BURN INJURY PATIENTS&lt;/title&gt;&lt;secondary-title&gt;European Journal of Biomedical&lt;/secondary-title&gt;&lt;/titles&gt;&lt;periodical&gt;&lt;full-title&gt;European Journal of Biomedical&lt;/full-title&gt;&lt;/periodical&gt;&lt;pages&gt;63-68&lt;/pages&gt;&lt;volume&gt;4&lt;/volume&gt;&lt;number&gt;01&lt;/number&gt;&lt;dates&gt;&lt;year&gt;2017&lt;/year&gt;&lt;/dates&gt;&lt;urls&gt;&lt;/urls&gt;&lt;/record&gt;&lt;/Cite&gt;&lt;/EndNote&gt;</w:instrText>
      </w:r>
      <w:r w:rsidR="006357E3" w:rsidRPr="00282D55">
        <w:fldChar w:fldCharType="separate"/>
      </w:r>
      <w:r w:rsidR="0074193C" w:rsidRPr="00282D55">
        <w:rPr>
          <w:noProof/>
        </w:rPr>
        <w:t>(21)</w:t>
      </w:r>
      <w:r w:rsidR="006357E3" w:rsidRPr="00282D55">
        <w:fldChar w:fldCharType="end"/>
      </w:r>
    </w:p>
    <w:p w:rsidR="00F52A80" w:rsidRDefault="00876E6B" w:rsidP="00876E6B">
      <w:pPr>
        <w:pStyle w:val="ListParagraph"/>
        <w:bidi w:val="0"/>
        <w:spacing w:line="360" w:lineRule="auto"/>
        <w:ind w:left="0" w:firstLine="720"/>
      </w:pPr>
      <w:r>
        <w:t>Other studies with variable laboratory findings ( 22-24) supporting and contradicting our findings are available from different centers around the globe.</w:t>
      </w:r>
    </w:p>
    <w:p w:rsidR="00F4352E" w:rsidRPr="00282D55" w:rsidRDefault="00F4352E" w:rsidP="00F4352E">
      <w:pPr>
        <w:pStyle w:val="ListParagraph"/>
        <w:bidi w:val="0"/>
        <w:spacing w:line="360" w:lineRule="auto"/>
        <w:ind w:left="0"/>
      </w:pPr>
    </w:p>
    <w:p w:rsidR="00D94834" w:rsidRPr="00282D55" w:rsidRDefault="000965AD" w:rsidP="00876E6B">
      <w:pPr>
        <w:bidi w:val="0"/>
        <w:spacing w:line="360" w:lineRule="auto"/>
        <w:ind w:firstLine="720"/>
      </w:pPr>
      <w:r w:rsidRPr="00282D55">
        <w:t>Inhal</w:t>
      </w:r>
      <w:r w:rsidR="00880B02" w:rsidRPr="00282D55">
        <w:t>ation injury and burn shock are</w:t>
      </w:r>
      <w:r w:rsidRPr="00282D55">
        <w:t xml:space="preserve"> the most common cause of death in first 48 hours after injury</w:t>
      </w:r>
      <w:r w:rsidR="00DD0DF5" w:rsidRPr="00282D55">
        <w:t>.</w:t>
      </w:r>
      <w:r w:rsidR="006357E3" w:rsidRPr="00282D55">
        <w:fldChar w:fldCharType="begin"/>
      </w:r>
      <w:r w:rsidR="00924872">
        <w:instrText xml:space="preserve"> ADDIN EN.CITE &lt;EndNote&gt;&lt;Cite&gt;&lt;Author&gt;Brusselaers&lt;/Author&gt;&lt;Year&gt;2010&lt;/Year&gt;&lt;RecNum&gt;41&lt;/RecNum&gt;&lt;DisplayText&gt;(25)&lt;/DisplayText&gt;&lt;record&gt;&lt;rec-number&gt;41&lt;/rec-number&gt;&lt;foreign-keys&gt;&lt;key app="EN" db-id="fpxxxaz24vpvwoe50sfxpwvpvx2s0wfs9dse" timestamp="1583262821"&gt;41&lt;/key&gt;&lt;/foreign-keys&gt;&lt;ref-type name="Journal Article"&gt;17&lt;/ref-type&gt;&lt;contributors&gt;&lt;authors&gt;&lt;author&gt;Brusselaers, Nele&lt;/author&gt;&lt;author&gt;Monstrey, Stan&lt;/author&gt;&lt;author&gt;Vogelaers, Dirk&lt;/author&gt;&lt;author&gt;Hoste, Eric&lt;/author&gt;&lt;author&gt;Blot, Stijn&lt;/author&gt;&lt;/authors&gt;&lt;/contributors&gt;&lt;titles&gt;&lt;title&gt;Severe burn injury in Europe: a systematic review of the incidence, etiology, morbidity, and mortality&lt;/title&gt;&lt;secondary-title&gt;Critical care&lt;/secondary-title&gt;&lt;/titles&gt;&lt;periodical&gt;&lt;full-title&gt;Critical care&lt;/full-title&gt;&lt;/periodical&gt;&lt;pages&gt;R188&lt;/pages&gt;&lt;volume&gt;14&lt;/volume&gt;&lt;number&gt;5&lt;/number&gt;&lt;dates&gt;&lt;year&gt;2010&lt;/year&gt;&lt;/dates&gt;&lt;isbn&gt;1364-8535&lt;/isbn&gt;&lt;urls&gt;&lt;/urls&gt;&lt;/record&gt;&lt;/Cite&gt;&lt;/EndNote&gt;</w:instrText>
      </w:r>
      <w:r w:rsidR="006357E3" w:rsidRPr="00282D55">
        <w:fldChar w:fldCharType="separate"/>
      </w:r>
      <w:r w:rsidR="0074193C" w:rsidRPr="00282D55">
        <w:rPr>
          <w:noProof/>
        </w:rPr>
        <w:t>(25)</w:t>
      </w:r>
      <w:r w:rsidR="006357E3" w:rsidRPr="00282D55">
        <w:fldChar w:fldCharType="end"/>
      </w:r>
      <w:r w:rsidR="00F4352E">
        <w:t>.</w:t>
      </w:r>
      <w:r w:rsidR="003438C3" w:rsidRPr="00282D55">
        <w:t xml:space="preserve"> A significantly higher mortality rate was recorded in the group of patients aged more than 80 </w:t>
      </w:r>
      <w:r w:rsidR="006357E3" w:rsidRPr="00282D55">
        <w:fldChar w:fldCharType="begin"/>
      </w:r>
      <w:r w:rsidR="0074193C" w:rsidRPr="00282D55">
        <w:instrText xml:space="preserve"> ADDIN EN.CITE &lt;EndNote&gt;&lt;Cite&gt;&lt;Author&gt;Lam&lt;/Author&gt;&lt;Year&gt;2019&lt;/Year&gt;&lt;RecNum&gt;43&lt;/RecNum&gt;&lt;DisplayText&gt;(26)&lt;/DisplayText&gt;&lt;record&gt;&lt;rec-number&gt;43&lt;/rec-number&gt;&lt;foreign-keys&gt;&lt;key app="EN" db-id="fpxxxaz24vpvwoe50sfxpwvpvx2s0wfs9dse" timestamp="1583756234"&gt;43&lt;/key&gt;&lt;/foreign-keys&gt;&lt;ref-type name="Journal Article"&gt;17&lt;/ref-type&gt;&lt;contributors&gt;&lt;authors&gt;&lt;author&gt;Lam, NN&lt;/author&gt;&lt;author&gt;Duc, NM&lt;/author&gt;&lt;author&gt;Son, NN&lt;/author&gt;&lt;/authors&gt;&lt;/contributors&gt;&lt;titles&gt;&lt;title&gt;Outcome and risk factors for death of elderly burn patients: a case series in Vietnam&lt;/title&gt;&lt;secondary-title&gt;Annals of burns and fire disasters&lt;/secondary-title&gt;&lt;/titles&gt;&lt;periodical&gt;&lt;full-title&gt;Annals of burns and fire disasters&lt;/full-title&gt;&lt;/periodical&gt;&lt;pages&gt;87&lt;/pages&gt;&lt;volume&gt;32&lt;/volume&gt;&lt;number&gt;2&lt;/number&gt;&lt;dates&gt;&lt;year&gt;2019&lt;/year&gt;&lt;/dates&gt;&lt;urls&gt;&lt;/urls&gt;&lt;/record&gt;&lt;/Cite&gt;&lt;/EndNote&gt;</w:instrText>
      </w:r>
      <w:r w:rsidR="006357E3" w:rsidRPr="00282D55">
        <w:fldChar w:fldCharType="separate"/>
      </w:r>
      <w:r w:rsidR="0074193C" w:rsidRPr="00282D55">
        <w:rPr>
          <w:noProof/>
        </w:rPr>
        <w:t>(26)</w:t>
      </w:r>
      <w:r w:rsidR="006357E3" w:rsidRPr="00282D55">
        <w:fldChar w:fldCharType="end"/>
      </w:r>
      <w:r w:rsidR="00F4352E">
        <w:t>,</w:t>
      </w:r>
      <w:r w:rsidR="006357E3" w:rsidRPr="00282D55">
        <w:fldChar w:fldCharType="begin"/>
      </w:r>
      <w:r w:rsidR="0074193C" w:rsidRPr="00282D55">
        <w:instrText xml:space="preserve"> ADDIN EN.CITE &lt;EndNote&gt;&lt;Cite&gt;&lt;Author&gt;Le&lt;/Author&gt;&lt;Year&gt;1986&lt;/Year&gt;&lt;RecNum&gt;65&lt;/RecNum&gt;&lt;DisplayText&gt;(27)&lt;/DisplayText&gt;&lt;record&gt;&lt;rec-number&gt;65&lt;/rec-number&gt;&lt;foreign-keys&gt;&lt;key app="EN" db-id="fpxxxaz24vpvwoe50sfxpwvpvx2s0wfs9dse" timestamp="1585254245"&gt;65&lt;/key&gt;&lt;/foreign-keys&gt;&lt;ref-type name="Journal Article"&gt;17&lt;/ref-type&gt;&lt;contributors&gt;&lt;authors&gt;&lt;author&gt;Le, Hong Q&lt;/author&gt;&lt;author&gt;Zamboni, William&lt;/author&gt;&lt;author&gt;Eriksson, Elof&lt;/author&gt;&lt;author&gt;Baldwin, Jack&lt;/author&gt;&lt;/authors&gt;&lt;/contributors&gt;&lt;titles&gt;&lt;title&gt;Burns in patients under 2 and over 70 years of age&lt;/title&gt;&lt;secondary-title&gt;Annals of plastic surgery&lt;/secondary-title&gt;&lt;/titles&gt;&lt;periodical&gt;&lt;full-title&gt;Annals of plastic surgery&lt;/full-title&gt;&lt;/periodical&gt;&lt;pages&gt;39-44&lt;/pages&gt;&lt;volume&gt;17&lt;/volume&gt;&lt;number&gt;1&lt;/number&gt;&lt;dates&gt;&lt;year&gt;1986&lt;/year&gt;&lt;/dates&gt;&lt;isbn&gt;0148-7043&lt;/isbn&gt;&lt;urls&gt;&lt;/urls&gt;&lt;/record&gt;&lt;/Cite&gt;&lt;/EndNote&gt;</w:instrText>
      </w:r>
      <w:r w:rsidR="006357E3" w:rsidRPr="00282D55">
        <w:fldChar w:fldCharType="separate"/>
      </w:r>
      <w:r w:rsidR="0074193C" w:rsidRPr="00282D55">
        <w:rPr>
          <w:noProof/>
        </w:rPr>
        <w:t>(27)</w:t>
      </w:r>
      <w:r w:rsidR="006357E3" w:rsidRPr="00282D55">
        <w:fldChar w:fldCharType="end"/>
      </w:r>
      <w:r w:rsidR="00DD18CF">
        <w:t>.</w:t>
      </w:r>
      <w:r w:rsidR="0082784F" w:rsidRPr="00282D55">
        <w:t>Several studies showed that size of burn has major effect on the mortality rate following burn injury at any age,</w:t>
      </w:r>
      <w:r w:rsidR="005360C6" w:rsidRPr="00282D55">
        <w:t xml:space="preserve"> the higher the TBSA% the higher risk of death.</w:t>
      </w:r>
      <w:r w:rsidR="00071C49" w:rsidRPr="00282D55">
        <w:t>.</w:t>
      </w:r>
      <w:r w:rsidR="006357E3" w:rsidRPr="00282D55">
        <w:fldChar w:fldCharType="begin"/>
      </w:r>
      <w:r w:rsidR="0074193C" w:rsidRPr="00282D55">
        <w:instrText xml:space="preserve"> ADDIN EN.CITE &lt;EndNote&gt;&lt;Cite&gt;&lt;Author&gt;Pavoni&lt;/Author&gt;&lt;Year&gt;2010&lt;/Year&gt;&lt;RecNum&gt;44&lt;/RecNum&gt;&lt;DisplayText&gt;(28)&lt;/DisplayText&gt;&lt;record&gt;&lt;rec-number&gt;44&lt;/rec-number&gt;&lt;foreign-keys&gt;&lt;key app="EN" db-id="fpxxxaz24vpvwoe50sfxpwvpvx2s0wfs9dse" timestamp="1583757517"&gt;44&lt;/key&gt;&lt;/foreign-keys&gt;&lt;ref-type name="Journal Article"&gt;17&lt;/ref-type&gt;&lt;contributors&gt;&lt;authors&gt;&lt;author&gt;Pavoni, Vittorio&lt;/author&gt;&lt;author&gt;Gianesello, Lara&lt;/author&gt;&lt;author&gt;Paparella, Laura&lt;/author&gt;&lt;author&gt;Buoninsegni, Laura Tadini&lt;/author&gt;&lt;author&gt;Barboni, Elisabetta&lt;/author&gt;&lt;/authors&gt;&lt;/contributors&gt;&lt;titles&gt;&lt;title&gt;Outcome predictors and quality of life of severe burn patients admitted to intensive care unit&lt;/title&gt;&lt;secondary-title&gt;Scandinavian journal of trauma, resuscitation and emergency medicine&lt;/secondary-title&gt;&lt;/titles&gt;&lt;periodical&gt;&lt;full-title&gt;Scandinavian journal of trauma, resuscitation and emergency medicine&lt;/full-title&gt;&lt;/periodical&gt;&lt;pages&gt;24&lt;/pages&gt;&lt;volume&gt;18&lt;/volume&gt;&lt;number&gt;1&lt;/number&gt;&lt;dates&gt;&lt;year&gt;2010&lt;/year&gt;&lt;/dates&gt;&lt;isbn&gt;1757-7241&lt;/isbn&gt;&lt;urls&gt;&lt;/urls&gt;&lt;/record&gt;&lt;/Cite&gt;&lt;/EndNote&gt;</w:instrText>
      </w:r>
      <w:r w:rsidR="006357E3" w:rsidRPr="00282D55">
        <w:fldChar w:fldCharType="separate"/>
      </w:r>
      <w:r w:rsidR="0074193C" w:rsidRPr="00282D55">
        <w:rPr>
          <w:noProof/>
        </w:rPr>
        <w:t>(28)</w:t>
      </w:r>
      <w:r w:rsidR="006357E3" w:rsidRPr="00282D55">
        <w:fldChar w:fldCharType="end"/>
      </w:r>
      <w:r w:rsidR="00F4352E">
        <w:t>,</w:t>
      </w:r>
      <w:r w:rsidR="006357E3" w:rsidRPr="00282D55">
        <w:rPr>
          <w:shd w:val="clear" w:color="auto" w:fill="FFFFFF"/>
        </w:rPr>
        <w:fldChar w:fldCharType="begin"/>
      </w:r>
      <w:r w:rsidR="0074193C" w:rsidRPr="00282D55">
        <w:rPr>
          <w:shd w:val="clear" w:color="auto" w:fill="FFFFFF"/>
        </w:rPr>
        <w:instrText xml:space="preserve"> ADDIN EN.CITE &lt;EndNote&gt;&lt;Cite&gt;&lt;Author&gt;Jeschke&lt;/Author&gt;&lt;Year&gt;2015&lt;/Year&gt;&lt;RecNum&gt;46&lt;/RecNum&gt;&lt;DisplayText&gt;(29)&lt;/DisplayText&gt;&lt;record&gt;&lt;rec-number&gt;46&lt;/rec-number&gt;&lt;foreign-keys&gt;&lt;key app="EN" db-id="fpxxxaz24vpvwoe50sfxpwvpvx2s0wfs9dse" timestamp="1584111666"&gt;46&lt;/key&gt;&lt;/foreign-keys&gt;&lt;ref-type name="Journal Article"&gt;17&lt;/ref-type&gt;&lt;contributors&gt;&lt;authors&gt;&lt;author&gt;Jeschke, Marc G&lt;/author&gt;&lt;author&gt;Pinto, Ruxandra&lt;/author&gt;&lt;author&gt;Kraft, Robert&lt;/author&gt;&lt;author&gt;Nathens, Avery B&lt;/author&gt;&lt;author&gt;Finnerty, Celeste C&lt;/author&gt;&lt;author&gt;Gamelli, Richard L&lt;/author&gt;&lt;author&gt;Gibran, Nicole S&lt;/author&gt;&lt;author&gt;Klein, Matthew B&lt;/author&gt;&lt;author&gt;Arnoldo, Brett D&lt;/author&gt;&lt;author&gt;Tompkins, Ronald G&lt;/author&gt;&lt;/authors&gt;&lt;/contributors&gt;&lt;titles&gt;&lt;title&gt;Morbidity and survival probability in burn patients in modern burn care&lt;/title&gt;&lt;secondary-title&gt;Critical care medicine&lt;/secondary-title&gt;&lt;/titles&gt;&lt;periodical&gt;&lt;full-title&gt;Critical care medicine&lt;/full-title&gt;&lt;/periodical&gt;&lt;pages&gt;808&lt;/pages&gt;&lt;volume&gt;43&lt;/volume&gt;&lt;number&gt;4&lt;/number&gt;&lt;dates&gt;&lt;year&gt;2015&lt;/year&gt;&lt;/dates&gt;&lt;urls&gt;&lt;/urls&gt;&lt;/record&gt;&lt;/Cite&gt;&lt;/EndNote&gt;</w:instrText>
      </w:r>
      <w:r w:rsidR="006357E3" w:rsidRPr="00282D55">
        <w:rPr>
          <w:shd w:val="clear" w:color="auto" w:fill="FFFFFF"/>
        </w:rPr>
        <w:fldChar w:fldCharType="separate"/>
      </w:r>
      <w:r w:rsidR="0074193C" w:rsidRPr="00282D55">
        <w:rPr>
          <w:noProof/>
          <w:shd w:val="clear" w:color="auto" w:fill="FFFFFF"/>
        </w:rPr>
        <w:t>(29)</w:t>
      </w:r>
      <w:r w:rsidR="006357E3" w:rsidRPr="00282D55">
        <w:rPr>
          <w:shd w:val="clear" w:color="auto" w:fill="FFFFFF"/>
        </w:rPr>
        <w:fldChar w:fldCharType="end"/>
      </w:r>
      <w:r w:rsidR="00876E6B">
        <w:t>.</w:t>
      </w:r>
      <w:r w:rsidR="00DD18CF">
        <w:t>I</w:t>
      </w:r>
      <w:r w:rsidR="00911608" w:rsidRPr="00282D55">
        <w:t>n severe burn injuries the functi</w:t>
      </w:r>
      <w:r w:rsidR="009012EB" w:rsidRPr="00282D55">
        <w:t>on and structure of almost every organ is impaired</w:t>
      </w:r>
      <w:r w:rsidR="00876E6B">
        <w:t xml:space="preserve"> (30-32)</w:t>
      </w:r>
      <w:r w:rsidR="007D6CC3" w:rsidRPr="00282D55">
        <w:t>Critically burn patients ar</w:t>
      </w:r>
      <w:r w:rsidR="004A2DC6">
        <w:t xml:space="preserve">e more likely to </w:t>
      </w:r>
      <w:r w:rsidR="004A2DC6">
        <w:lastRenderedPageBreak/>
        <w:t xml:space="preserve">get infection. </w:t>
      </w:r>
      <w:r w:rsidR="007D3E21" w:rsidRPr="00282D55">
        <w:t>Bloodstream infections in the first week is called early BSI, and called late BSI during the second week and oncoming weeks.</w:t>
      </w:r>
      <w:r w:rsidR="00876E6B">
        <w:t>(33-39)</w:t>
      </w:r>
    </w:p>
    <w:p w:rsidR="00D94834" w:rsidRPr="00282D55" w:rsidRDefault="00D94834" w:rsidP="00282D55">
      <w:pPr>
        <w:bidi w:val="0"/>
        <w:spacing w:line="360" w:lineRule="auto"/>
      </w:pPr>
    </w:p>
    <w:p w:rsidR="00D94834" w:rsidRPr="00282D55" w:rsidRDefault="00D94834" w:rsidP="00282D55">
      <w:pPr>
        <w:bidi w:val="0"/>
        <w:spacing w:line="360" w:lineRule="auto"/>
      </w:pPr>
    </w:p>
    <w:p w:rsidR="0087283E" w:rsidRPr="00282D55" w:rsidRDefault="005D4C1B" w:rsidP="00282D55">
      <w:pPr>
        <w:pStyle w:val="Heading1"/>
        <w:bidi w:val="0"/>
        <w:spacing w:line="360" w:lineRule="auto"/>
        <w:jc w:val="center"/>
        <w:rPr>
          <w:color w:val="auto"/>
        </w:rPr>
      </w:pPr>
      <w:bookmarkStart w:id="5" w:name="_Toc36963345"/>
      <w:r>
        <w:rPr>
          <w:color w:val="auto"/>
        </w:rPr>
        <w:t>Patients</w:t>
      </w:r>
      <w:r w:rsidR="0087283E" w:rsidRPr="00282D55">
        <w:rPr>
          <w:color w:val="auto"/>
        </w:rPr>
        <w:t xml:space="preserve"> and Method</w:t>
      </w:r>
      <w:bookmarkEnd w:id="5"/>
      <w:r>
        <w:rPr>
          <w:color w:val="auto"/>
        </w:rPr>
        <w:t>s</w:t>
      </w:r>
    </w:p>
    <w:p w:rsidR="0087283E" w:rsidRPr="00282D55" w:rsidRDefault="0087283E" w:rsidP="00DD18CF">
      <w:pPr>
        <w:pStyle w:val="Heading1"/>
        <w:bidi w:val="0"/>
        <w:spacing w:line="360" w:lineRule="auto"/>
        <w:rPr>
          <w:color w:val="auto"/>
        </w:rPr>
      </w:pPr>
      <w:bookmarkStart w:id="6" w:name="_Toc36963346"/>
      <w:bookmarkEnd w:id="6"/>
    </w:p>
    <w:p w:rsidR="0087283E" w:rsidRPr="00282D55" w:rsidRDefault="0087283E" w:rsidP="00DD18CF">
      <w:pPr>
        <w:bidi w:val="0"/>
        <w:spacing w:line="360" w:lineRule="auto"/>
      </w:pPr>
    </w:p>
    <w:p w:rsidR="0087283E" w:rsidRPr="00282D55" w:rsidRDefault="005C6DBE" w:rsidP="005D4C1B">
      <w:pPr>
        <w:bidi w:val="0"/>
        <w:spacing w:line="360" w:lineRule="auto"/>
        <w:ind w:firstLine="720"/>
      </w:pPr>
      <w:r w:rsidRPr="00282D55">
        <w:t xml:space="preserve">The study involved </w:t>
      </w:r>
      <w:r w:rsidR="00876E6B">
        <w:t xml:space="preserve">a random sample </w:t>
      </w:r>
      <w:r w:rsidR="005D4C1B">
        <w:t xml:space="preserve">of </w:t>
      </w:r>
      <w:r w:rsidR="005D4C1B" w:rsidRPr="00282D55">
        <w:t>100</w:t>
      </w:r>
      <w:r w:rsidR="00876E6B">
        <w:t xml:space="preserve">adult </w:t>
      </w:r>
      <w:r w:rsidR="00B34A4D" w:rsidRPr="00282D55">
        <w:t>burn patients</w:t>
      </w:r>
      <w:r w:rsidR="00876E6B">
        <w:t xml:space="preserve"> in Sulaimaniyah burn Hospital</w:t>
      </w:r>
      <w:r w:rsidRPr="00282D55">
        <w:t xml:space="preserve">. </w:t>
      </w:r>
    </w:p>
    <w:p w:rsidR="001331EF" w:rsidRPr="00282D55" w:rsidRDefault="005D4C1B" w:rsidP="00DD18CF">
      <w:pPr>
        <w:bidi w:val="0"/>
        <w:spacing w:line="360" w:lineRule="auto"/>
        <w:rPr>
          <w:lang w:bidi="ar-IQ"/>
        </w:rPr>
      </w:pPr>
      <w:r>
        <w:t xml:space="preserve">April </w:t>
      </w:r>
      <w:r w:rsidR="00034017" w:rsidRPr="00282D55">
        <w:t xml:space="preserve">2019 </w:t>
      </w:r>
      <w:r>
        <w:t>to</w:t>
      </w:r>
      <w:r w:rsidR="002B5D5B">
        <w:t xml:space="preserve"> january 2021, </w:t>
      </w:r>
      <w:r>
        <w:t>retrospective and prospectively.</w:t>
      </w:r>
      <w:r>
        <w:rPr>
          <w:lang w:bidi="ar-IQ"/>
        </w:rPr>
        <w:t xml:space="preserve"> Laboratory parameter changes were chronologically monitored from the first week of admission to the date of the discharge. The laboratory parameters were statistically analyzed against back ground microbiological and clinical follow up charts so as to correlate changes in the parameters and clinical findings with possible infections.</w:t>
      </w:r>
    </w:p>
    <w:p w:rsidR="005E0CA3" w:rsidRPr="00282D55" w:rsidRDefault="00CC79CD" w:rsidP="00DD18CF">
      <w:pPr>
        <w:pStyle w:val="Heading1"/>
        <w:bidi w:val="0"/>
        <w:spacing w:line="360" w:lineRule="auto"/>
        <w:jc w:val="center"/>
        <w:rPr>
          <w:color w:val="auto"/>
        </w:rPr>
      </w:pPr>
      <w:bookmarkStart w:id="7" w:name="_Toc36963356"/>
      <w:r w:rsidRPr="00282D55">
        <w:rPr>
          <w:color w:val="auto"/>
        </w:rPr>
        <w:t>Result</w:t>
      </w:r>
      <w:r w:rsidR="00A4434C" w:rsidRPr="00282D55">
        <w:rPr>
          <w:color w:val="auto"/>
        </w:rPr>
        <w:t>s</w:t>
      </w:r>
      <w:bookmarkEnd w:id="7"/>
    </w:p>
    <w:p w:rsidR="005E0CA3" w:rsidRPr="00282D55" w:rsidRDefault="005E0CA3" w:rsidP="00DD18CF">
      <w:pPr>
        <w:bidi w:val="0"/>
        <w:spacing w:line="360" w:lineRule="auto"/>
        <w:ind w:firstLine="720"/>
        <w:jc w:val="both"/>
        <w:rPr>
          <w:rFonts w:asciiTheme="majorBidi" w:hAnsiTheme="majorBidi" w:cstheme="majorBidi"/>
        </w:rPr>
      </w:pPr>
      <w:r w:rsidRPr="00282D55">
        <w:rPr>
          <w:rFonts w:asciiTheme="majorBidi" w:hAnsiTheme="majorBidi" w:cstheme="majorBidi"/>
        </w:rPr>
        <w:t xml:space="preserve">A total of 100 patients were studied, of which 31 (28.2%) patients were male and 66 (60%) were </w:t>
      </w:r>
      <w:r w:rsidR="004C0C1E" w:rsidRPr="00282D55">
        <w:rPr>
          <w:rFonts w:asciiTheme="majorBidi" w:hAnsiTheme="majorBidi" w:cstheme="majorBidi"/>
        </w:rPr>
        <w:t>female</w:t>
      </w:r>
      <w:r w:rsidR="004C0C1E">
        <w:rPr>
          <w:rFonts w:asciiTheme="majorBidi" w:hAnsiTheme="majorBidi" w:cstheme="majorBidi"/>
        </w:rPr>
        <w:t>. T</w:t>
      </w:r>
      <w:r w:rsidRPr="00282D55">
        <w:rPr>
          <w:rFonts w:asciiTheme="majorBidi" w:hAnsiTheme="majorBidi" w:cstheme="majorBidi"/>
        </w:rPr>
        <w:t>he study showed that 41.8% of patient</w:t>
      </w:r>
      <w:r w:rsidRPr="00282D55">
        <w:rPr>
          <w:rFonts w:asciiTheme="majorBidi" w:hAnsiTheme="majorBidi" w:cstheme="majorBidi"/>
          <w:vertAlign w:val="superscript"/>
        </w:rPr>
        <w:t>’</w:t>
      </w:r>
      <w:r w:rsidRPr="00282D55">
        <w:rPr>
          <w:rFonts w:asciiTheme="majorBidi" w:hAnsiTheme="majorBidi" w:cstheme="majorBidi"/>
        </w:rPr>
        <w:t xml:space="preserve">s ages were (18-28) years old, and 7% aged more than 48 years old , and most of them were married and lived in rural areas. </w:t>
      </w:r>
    </w:p>
    <w:p w:rsidR="005E0CA3" w:rsidRPr="00282D55" w:rsidRDefault="005E0CA3" w:rsidP="00282D55">
      <w:pPr>
        <w:bidi w:val="0"/>
        <w:spacing w:line="360" w:lineRule="auto"/>
        <w:ind w:left="720"/>
        <w:jc w:val="both"/>
        <w:rPr>
          <w:rFonts w:asciiTheme="majorBidi" w:hAnsiTheme="majorBidi" w:cstheme="majorBidi"/>
        </w:rPr>
      </w:pPr>
    </w:p>
    <w:tbl>
      <w:tblPr>
        <w:tblStyle w:val="TableGrid"/>
        <w:tblW w:w="8820" w:type="dxa"/>
        <w:tblInd w:w="423" w:type="dxa"/>
        <w:tblLook w:val="04A0"/>
      </w:tblPr>
      <w:tblGrid>
        <w:gridCol w:w="2220"/>
        <w:gridCol w:w="2380"/>
        <w:gridCol w:w="3220"/>
        <w:gridCol w:w="1000"/>
      </w:tblGrid>
      <w:tr w:rsidR="005E0CA3" w:rsidRPr="00282D55" w:rsidTr="00A83281">
        <w:trPr>
          <w:trHeight w:val="559"/>
        </w:trPr>
        <w:tc>
          <w:tcPr>
            <w:tcW w:w="4600" w:type="dxa"/>
            <w:gridSpan w:val="2"/>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Variable</w:t>
            </w:r>
          </w:p>
        </w:tc>
        <w:tc>
          <w:tcPr>
            <w:tcW w:w="322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Frequency</w:t>
            </w:r>
          </w:p>
        </w:tc>
        <w:tc>
          <w:tcPr>
            <w:tcW w:w="100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Percent</w:t>
            </w:r>
          </w:p>
        </w:tc>
      </w:tr>
      <w:tr w:rsidR="005E0CA3" w:rsidRPr="00282D55" w:rsidTr="00A83281">
        <w:trPr>
          <w:trHeight w:val="300"/>
        </w:trPr>
        <w:tc>
          <w:tcPr>
            <w:tcW w:w="2220" w:type="dxa"/>
            <w:vMerge w:val="restart"/>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Age range</w:t>
            </w: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18-28</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46</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46</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28-38</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30</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30</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38-48</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14</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14</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&gt;48</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7</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7</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Total</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97</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97</w:t>
            </w:r>
          </w:p>
        </w:tc>
      </w:tr>
      <w:tr w:rsidR="005E0CA3" w:rsidRPr="00282D55" w:rsidTr="00A83281">
        <w:trPr>
          <w:trHeight w:val="300"/>
        </w:trPr>
        <w:tc>
          <w:tcPr>
            <w:tcW w:w="222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Missing</w:t>
            </w:r>
            <w:r w:rsidR="005D4C1B">
              <w:rPr>
                <w:rFonts w:asciiTheme="majorBidi" w:eastAsia="Times New Roman" w:hAnsiTheme="majorBidi" w:cstheme="majorBidi"/>
                <w:lang w:eastAsia="en-GB"/>
              </w:rPr>
              <w:t xml:space="preserve">* </w:t>
            </w: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System</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w:t>
            </w:r>
          </w:p>
        </w:tc>
      </w:tr>
      <w:tr w:rsidR="005E0CA3" w:rsidRPr="00282D55" w:rsidTr="00A83281">
        <w:trPr>
          <w:trHeight w:val="300"/>
        </w:trPr>
        <w:tc>
          <w:tcPr>
            <w:tcW w:w="4600" w:type="dxa"/>
            <w:gridSpan w:val="2"/>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Total</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100</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100</w:t>
            </w:r>
          </w:p>
        </w:tc>
      </w:tr>
      <w:tr w:rsidR="005E0CA3" w:rsidRPr="00282D55" w:rsidTr="00A83281">
        <w:trPr>
          <w:trHeight w:val="300"/>
        </w:trPr>
        <w:tc>
          <w:tcPr>
            <w:tcW w:w="2220" w:type="dxa"/>
            <w:vMerge w:val="restart"/>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Gender</w:t>
            </w: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Male</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31</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31</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Female</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66</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66</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Total</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97</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97</w:t>
            </w:r>
          </w:p>
        </w:tc>
      </w:tr>
      <w:tr w:rsidR="005E0CA3" w:rsidRPr="00282D55" w:rsidTr="00A83281">
        <w:trPr>
          <w:trHeight w:val="300"/>
        </w:trPr>
        <w:tc>
          <w:tcPr>
            <w:tcW w:w="222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Missing</w:t>
            </w:r>
            <w:r w:rsidR="005D4C1B">
              <w:rPr>
                <w:rFonts w:asciiTheme="majorBidi" w:eastAsia="Times New Roman" w:hAnsiTheme="majorBidi" w:cstheme="majorBidi"/>
                <w:lang w:eastAsia="en-GB"/>
              </w:rPr>
              <w:t>*</w:t>
            </w: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System</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w:t>
            </w:r>
          </w:p>
        </w:tc>
      </w:tr>
      <w:tr w:rsidR="005E0CA3" w:rsidRPr="00282D55" w:rsidTr="00A83281">
        <w:trPr>
          <w:trHeight w:val="300"/>
        </w:trPr>
        <w:tc>
          <w:tcPr>
            <w:tcW w:w="4600" w:type="dxa"/>
            <w:gridSpan w:val="2"/>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Total</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100</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100</w:t>
            </w:r>
          </w:p>
        </w:tc>
      </w:tr>
      <w:tr w:rsidR="005E0CA3" w:rsidRPr="00282D55" w:rsidTr="00A83281">
        <w:trPr>
          <w:trHeight w:val="300"/>
        </w:trPr>
        <w:tc>
          <w:tcPr>
            <w:tcW w:w="2220" w:type="dxa"/>
            <w:vMerge w:val="restart"/>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Residency</w:t>
            </w: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City</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44</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44</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hideMark/>
          </w:tcPr>
          <w:p w:rsidR="005E0CA3" w:rsidRPr="00282D55" w:rsidRDefault="00576B9B"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R</w:t>
            </w:r>
            <w:r w:rsidR="005E0CA3" w:rsidRPr="00282D55">
              <w:rPr>
                <w:rFonts w:asciiTheme="majorBidi" w:eastAsia="Times New Roman" w:hAnsiTheme="majorBidi" w:cstheme="majorBidi"/>
                <w:lang w:eastAsia="en-GB"/>
              </w:rPr>
              <w:t>ural</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53</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53</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Total</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97</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97</w:t>
            </w:r>
          </w:p>
        </w:tc>
      </w:tr>
      <w:tr w:rsidR="005E0CA3" w:rsidRPr="00282D55" w:rsidTr="00A83281">
        <w:trPr>
          <w:trHeight w:val="300"/>
        </w:trPr>
        <w:tc>
          <w:tcPr>
            <w:tcW w:w="222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Missing</w:t>
            </w:r>
            <w:r w:rsidR="005D4C1B">
              <w:rPr>
                <w:rFonts w:asciiTheme="majorBidi" w:eastAsia="Times New Roman" w:hAnsiTheme="majorBidi" w:cstheme="majorBidi"/>
                <w:lang w:eastAsia="en-GB"/>
              </w:rPr>
              <w:t>*</w:t>
            </w: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System</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w:t>
            </w:r>
          </w:p>
        </w:tc>
      </w:tr>
      <w:tr w:rsidR="005E0CA3" w:rsidRPr="00282D55" w:rsidTr="00A83281">
        <w:trPr>
          <w:trHeight w:val="300"/>
        </w:trPr>
        <w:tc>
          <w:tcPr>
            <w:tcW w:w="4600" w:type="dxa"/>
            <w:gridSpan w:val="2"/>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Total</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100</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100</w:t>
            </w:r>
          </w:p>
        </w:tc>
      </w:tr>
      <w:tr w:rsidR="005E0CA3" w:rsidRPr="00282D55" w:rsidTr="00A83281">
        <w:trPr>
          <w:trHeight w:val="300"/>
        </w:trPr>
        <w:tc>
          <w:tcPr>
            <w:tcW w:w="2220" w:type="dxa"/>
            <w:vMerge w:val="restart"/>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Marital status</w:t>
            </w:r>
          </w:p>
        </w:tc>
        <w:tc>
          <w:tcPr>
            <w:tcW w:w="238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Single</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28</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28</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Married</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69</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69</w:t>
            </w:r>
          </w:p>
        </w:tc>
      </w:tr>
      <w:tr w:rsidR="005E0CA3" w:rsidRPr="00282D55" w:rsidTr="00A83281">
        <w:trPr>
          <w:trHeight w:val="300"/>
        </w:trPr>
        <w:tc>
          <w:tcPr>
            <w:tcW w:w="2220" w:type="dxa"/>
            <w:vMerge/>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Total</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97</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97</w:t>
            </w:r>
          </w:p>
        </w:tc>
      </w:tr>
      <w:tr w:rsidR="005E0CA3" w:rsidRPr="00282D55" w:rsidTr="00A83281">
        <w:trPr>
          <w:trHeight w:val="300"/>
        </w:trPr>
        <w:tc>
          <w:tcPr>
            <w:tcW w:w="222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Missing</w:t>
            </w:r>
            <w:r w:rsidR="004C0C1E">
              <w:rPr>
                <w:rFonts w:asciiTheme="majorBidi" w:eastAsia="Times New Roman" w:hAnsiTheme="majorBidi" w:cstheme="majorBidi"/>
                <w:lang w:eastAsia="en-GB"/>
              </w:rPr>
              <w:t>*</w:t>
            </w:r>
          </w:p>
        </w:tc>
        <w:tc>
          <w:tcPr>
            <w:tcW w:w="2380" w:type="dxa"/>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System</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3</w:t>
            </w:r>
          </w:p>
        </w:tc>
      </w:tr>
      <w:tr w:rsidR="005E0CA3" w:rsidRPr="00282D55" w:rsidTr="00A83281">
        <w:trPr>
          <w:trHeight w:val="300"/>
        </w:trPr>
        <w:tc>
          <w:tcPr>
            <w:tcW w:w="4600" w:type="dxa"/>
            <w:gridSpan w:val="2"/>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Total</w:t>
            </w:r>
          </w:p>
        </w:tc>
        <w:tc>
          <w:tcPr>
            <w:tcW w:w="322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100</w:t>
            </w:r>
          </w:p>
        </w:tc>
        <w:tc>
          <w:tcPr>
            <w:tcW w:w="1000" w:type="dxa"/>
            <w:noWrap/>
            <w:hideMark/>
          </w:tcPr>
          <w:p w:rsidR="005E0CA3" w:rsidRPr="00282D55" w:rsidRDefault="005E0CA3" w:rsidP="00282D55">
            <w:pPr>
              <w:bidi w:val="0"/>
              <w:spacing w:line="360" w:lineRule="auto"/>
              <w:jc w:val="both"/>
              <w:rPr>
                <w:rFonts w:asciiTheme="majorBidi" w:eastAsia="Times New Roman" w:hAnsiTheme="majorBidi" w:cstheme="majorBidi"/>
                <w:lang w:eastAsia="en-GB"/>
              </w:rPr>
            </w:pPr>
            <w:r w:rsidRPr="00282D55">
              <w:rPr>
                <w:rFonts w:asciiTheme="majorBidi" w:eastAsia="Times New Roman" w:hAnsiTheme="majorBidi" w:cstheme="majorBidi"/>
                <w:lang w:eastAsia="en-GB"/>
              </w:rPr>
              <w:t>100</w:t>
            </w:r>
          </w:p>
        </w:tc>
      </w:tr>
    </w:tbl>
    <w:p w:rsidR="005E0CA3" w:rsidRPr="00282D55" w:rsidRDefault="005E0CA3" w:rsidP="00282D55">
      <w:pPr>
        <w:bidi w:val="0"/>
        <w:spacing w:line="360" w:lineRule="auto"/>
        <w:ind w:left="720"/>
        <w:jc w:val="center"/>
        <w:rPr>
          <w:rFonts w:asciiTheme="majorBidi" w:hAnsiTheme="majorBidi" w:cstheme="majorBidi"/>
        </w:rPr>
      </w:pPr>
    </w:p>
    <w:p w:rsidR="005E0CA3"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Table 1 Demographic Data of Burn Patient enrolled in the study</w:t>
      </w:r>
      <w:r w:rsidR="005D4C1B">
        <w:rPr>
          <w:rFonts w:asciiTheme="majorBidi" w:hAnsiTheme="majorBidi" w:cstheme="majorBidi"/>
          <w:b/>
          <w:bCs/>
        </w:rPr>
        <w:t>.</w:t>
      </w:r>
    </w:p>
    <w:p w:rsidR="005D4C1B" w:rsidRPr="00282D55" w:rsidRDefault="005D4C1B" w:rsidP="005D4C1B">
      <w:pPr>
        <w:bidi w:val="0"/>
        <w:spacing w:line="360" w:lineRule="auto"/>
        <w:jc w:val="center"/>
        <w:rPr>
          <w:rFonts w:asciiTheme="majorBidi" w:hAnsiTheme="majorBidi" w:cstheme="majorBidi"/>
          <w:b/>
          <w:bCs/>
        </w:rPr>
      </w:pPr>
      <w:r>
        <w:rPr>
          <w:rFonts w:asciiTheme="majorBidi" w:hAnsiTheme="majorBidi" w:cstheme="majorBidi"/>
          <w:lang w:eastAsia="en-GB"/>
        </w:rPr>
        <w:t>(</w:t>
      </w:r>
      <w:r w:rsidR="004C0C1E">
        <w:rPr>
          <w:rFonts w:asciiTheme="majorBidi" w:hAnsiTheme="majorBidi" w:cstheme="majorBidi"/>
          <w:lang w:eastAsia="en-GB"/>
        </w:rPr>
        <w:t>* not</w:t>
      </w:r>
      <w:r>
        <w:rPr>
          <w:rFonts w:asciiTheme="majorBidi" w:hAnsiTheme="majorBidi" w:cstheme="majorBidi"/>
          <w:lang w:eastAsia="en-GB"/>
        </w:rPr>
        <w:t xml:space="preserve"> recorded in the case sheet)</w:t>
      </w:r>
    </w:p>
    <w:p w:rsidR="005E0CA3" w:rsidRPr="00282D55" w:rsidRDefault="005E0CA3" w:rsidP="00282D55">
      <w:pPr>
        <w:pStyle w:val="Heading1"/>
        <w:bidi w:val="0"/>
        <w:spacing w:line="360" w:lineRule="auto"/>
        <w:rPr>
          <w:color w:val="auto"/>
        </w:rPr>
      </w:pPr>
      <w:bookmarkStart w:id="8" w:name="_Toc36963358"/>
      <w:r w:rsidRPr="00282D55">
        <w:rPr>
          <w:color w:val="auto"/>
        </w:rPr>
        <w:t xml:space="preserve"> Degree and total body surface area</w:t>
      </w:r>
      <w:bookmarkEnd w:id="8"/>
    </w:p>
    <w:p w:rsidR="005E0CA3" w:rsidRPr="00282D55" w:rsidRDefault="005E0CA3" w:rsidP="00282D55">
      <w:pPr>
        <w:bidi w:val="0"/>
        <w:spacing w:line="360" w:lineRule="auto"/>
        <w:rPr>
          <w:rFonts w:asciiTheme="majorBidi" w:hAnsiTheme="majorBidi" w:cstheme="majorBidi"/>
        </w:rPr>
      </w:pPr>
      <w:r w:rsidRPr="00282D55">
        <w:rPr>
          <w:rFonts w:asciiTheme="majorBidi" w:hAnsiTheme="majorBidi" w:cstheme="majorBidi"/>
        </w:rPr>
        <w:t xml:space="preserve">Our study showed that 25% of the patient had a TBSA of 40-50%, and 51 % of them had II-III degree burns. </w:t>
      </w:r>
    </w:p>
    <w:p w:rsidR="005E0CA3" w:rsidRPr="00282D55" w:rsidRDefault="005E0CA3" w:rsidP="00282D55">
      <w:pPr>
        <w:bidi w:val="0"/>
        <w:spacing w:line="360" w:lineRule="auto"/>
        <w:rPr>
          <w:rFonts w:asciiTheme="majorBidi" w:hAnsiTheme="majorBidi" w:cstheme="majorBidi"/>
        </w:rPr>
      </w:pPr>
    </w:p>
    <w:tbl>
      <w:tblPr>
        <w:tblStyle w:val="TableGrid"/>
        <w:tblW w:w="5343" w:type="dxa"/>
        <w:tblInd w:w="2445" w:type="dxa"/>
        <w:tblLook w:val="04A0"/>
      </w:tblPr>
      <w:tblGrid>
        <w:gridCol w:w="1378"/>
        <w:gridCol w:w="1431"/>
        <w:gridCol w:w="1247"/>
        <w:gridCol w:w="1287"/>
      </w:tblGrid>
      <w:tr w:rsidR="005E0CA3" w:rsidRPr="00282D55" w:rsidTr="00A83281">
        <w:trPr>
          <w:trHeight w:val="508"/>
        </w:trPr>
        <w:tc>
          <w:tcPr>
            <w:tcW w:w="2809" w:type="dxa"/>
            <w:gridSpan w:val="2"/>
            <w:hideMark/>
          </w:tcPr>
          <w:p w:rsidR="005E0CA3" w:rsidRPr="00282D55" w:rsidRDefault="005E0CA3" w:rsidP="00282D55">
            <w:pPr>
              <w:bidi w:val="0"/>
              <w:spacing w:line="360" w:lineRule="auto"/>
              <w:rPr>
                <w:rFonts w:asciiTheme="majorBidi" w:eastAsia="Times New Roman" w:hAnsiTheme="majorBidi" w:cstheme="majorBidi"/>
                <w:lang w:eastAsia="en-GB"/>
              </w:rPr>
            </w:pPr>
            <w:r w:rsidRPr="00282D55">
              <w:rPr>
                <w:rFonts w:asciiTheme="majorBidi" w:eastAsia="Times New Roman" w:hAnsiTheme="majorBidi" w:cstheme="majorBidi"/>
                <w:lang w:eastAsia="en-GB"/>
              </w:rPr>
              <w:t>Total body surface area</w:t>
            </w:r>
          </w:p>
        </w:tc>
        <w:tc>
          <w:tcPr>
            <w:tcW w:w="1247" w:type="dxa"/>
            <w:hideMark/>
          </w:tcPr>
          <w:p w:rsidR="005E0CA3" w:rsidRPr="00282D55" w:rsidRDefault="005E0CA3" w:rsidP="00282D55">
            <w:pPr>
              <w:bidi w:val="0"/>
              <w:spacing w:line="360" w:lineRule="auto"/>
              <w:rPr>
                <w:rFonts w:asciiTheme="majorBidi" w:eastAsia="Times New Roman" w:hAnsiTheme="majorBidi" w:cstheme="majorBidi"/>
                <w:lang w:eastAsia="en-GB"/>
              </w:rPr>
            </w:pPr>
            <w:r w:rsidRPr="00282D55">
              <w:rPr>
                <w:rFonts w:asciiTheme="majorBidi" w:eastAsia="Times New Roman" w:hAnsiTheme="majorBidi" w:cstheme="majorBidi"/>
                <w:lang w:eastAsia="en-GB"/>
              </w:rPr>
              <w:t>Frequency</w:t>
            </w:r>
          </w:p>
        </w:tc>
        <w:tc>
          <w:tcPr>
            <w:tcW w:w="1287" w:type="dxa"/>
            <w:hideMark/>
          </w:tcPr>
          <w:p w:rsidR="005E0CA3" w:rsidRPr="00282D55" w:rsidRDefault="005E0CA3" w:rsidP="00282D55">
            <w:pPr>
              <w:bidi w:val="0"/>
              <w:spacing w:line="360" w:lineRule="auto"/>
              <w:rPr>
                <w:rFonts w:asciiTheme="majorBidi" w:eastAsia="Times New Roman" w:hAnsiTheme="majorBidi" w:cstheme="majorBidi"/>
                <w:lang w:eastAsia="en-GB"/>
              </w:rPr>
            </w:pPr>
            <w:r w:rsidRPr="00282D55">
              <w:rPr>
                <w:rFonts w:asciiTheme="majorBidi" w:eastAsia="Times New Roman" w:hAnsiTheme="majorBidi" w:cstheme="majorBidi"/>
                <w:lang w:eastAsia="en-GB"/>
              </w:rPr>
              <w:t>Percentage</w:t>
            </w:r>
          </w:p>
        </w:tc>
      </w:tr>
      <w:tr w:rsidR="005E0CA3" w:rsidRPr="00282D55" w:rsidTr="00A83281">
        <w:trPr>
          <w:trHeight w:val="273"/>
        </w:trPr>
        <w:tc>
          <w:tcPr>
            <w:tcW w:w="1378" w:type="dxa"/>
            <w:tcBorders>
              <w:bottom w:val="single" w:sz="2" w:space="0" w:color="auto"/>
              <w:righ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p>
        </w:tc>
        <w:tc>
          <w:tcPr>
            <w:tcW w:w="1431" w:type="dxa"/>
            <w:tcBorders>
              <w:lef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r w:rsidRPr="00282D55">
              <w:rPr>
                <w:rFonts w:asciiTheme="majorBidi" w:eastAsia="Times New Roman" w:hAnsiTheme="majorBidi" w:cstheme="majorBidi"/>
                <w:lang w:eastAsia="en-GB"/>
              </w:rPr>
              <w:t>&lt; 20%</w:t>
            </w:r>
          </w:p>
        </w:tc>
        <w:tc>
          <w:tcPr>
            <w:tcW w:w="124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17</w:t>
            </w:r>
          </w:p>
        </w:tc>
        <w:tc>
          <w:tcPr>
            <w:tcW w:w="128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17%</w:t>
            </w:r>
          </w:p>
        </w:tc>
      </w:tr>
      <w:tr w:rsidR="005E0CA3" w:rsidRPr="00282D55" w:rsidTr="00A83281">
        <w:trPr>
          <w:trHeight w:val="273"/>
        </w:trPr>
        <w:tc>
          <w:tcPr>
            <w:tcW w:w="1378" w:type="dxa"/>
            <w:tcBorders>
              <w:top w:val="single" w:sz="2" w:space="0" w:color="auto"/>
              <w:bottom w:val="single" w:sz="2" w:space="0" w:color="auto"/>
              <w:righ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p>
        </w:tc>
        <w:tc>
          <w:tcPr>
            <w:tcW w:w="1431" w:type="dxa"/>
            <w:tcBorders>
              <w:lef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r w:rsidRPr="00282D55">
              <w:rPr>
                <w:rFonts w:asciiTheme="majorBidi" w:eastAsia="Times New Roman" w:hAnsiTheme="majorBidi" w:cstheme="majorBidi"/>
                <w:lang w:eastAsia="en-GB"/>
              </w:rPr>
              <w:t>20-30%</w:t>
            </w:r>
          </w:p>
        </w:tc>
        <w:tc>
          <w:tcPr>
            <w:tcW w:w="124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23</w:t>
            </w:r>
          </w:p>
        </w:tc>
        <w:tc>
          <w:tcPr>
            <w:tcW w:w="128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23%</w:t>
            </w:r>
          </w:p>
        </w:tc>
      </w:tr>
      <w:tr w:rsidR="005E0CA3" w:rsidRPr="00282D55" w:rsidTr="00A83281">
        <w:trPr>
          <w:trHeight w:val="273"/>
        </w:trPr>
        <w:tc>
          <w:tcPr>
            <w:tcW w:w="1378" w:type="dxa"/>
            <w:tcBorders>
              <w:top w:val="single" w:sz="2" w:space="0" w:color="auto"/>
              <w:bottom w:val="single" w:sz="2" w:space="0" w:color="auto"/>
              <w:righ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p>
        </w:tc>
        <w:tc>
          <w:tcPr>
            <w:tcW w:w="1431" w:type="dxa"/>
            <w:tcBorders>
              <w:lef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r w:rsidRPr="00282D55">
              <w:rPr>
                <w:rFonts w:asciiTheme="majorBidi" w:eastAsia="Times New Roman" w:hAnsiTheme="majorBidi" w:cstheme="majorBidi"/>
                <w:lang w:eastAsia="en-GB"/>
              </w:rPr>
              <w:t>30-40%</w:t>
            </w:r>
          </w:p>
        </w:tc>
        <w:tc>
          <w:tcPr>
            <w:tcW w:w="124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21</w:t>
            </w:r>
          </w:p>
        </w:tc>
        <w:tc>
          <w:tcPr>
            <w:tcW w:w="128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21%</w:t>
            </w:r>
          </w:p>
        </w:tc>
      </w:tr>
      <w:tr w:rsidR="005E0CA3" w:rsidRPr="00282D55" w:rsidTr="00A83281">
        <w:trPr>
          <w:trHeight w:val="273"/>
        </w:trPr>
        <w:tc>
          <w:tcPr>
            <w:tcW w:w="1378" w:type="dxa"/>
            <w:tcBorders>
              <w:top w:val="single" w:sz="2" w:space="0" w:color="auto"/>
              <w:bottom w:val="single" w:sz="2" w:space="0" w:color="auto"/>
              <w:righ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p>
        </w:tc>
        <w:tc>
          <w:tcPr>
            <w:tcW w:w="1431" w:type="dxa"/>
            <w:tcBorders>
              <w:lef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r w:rsidRPr="00282D55">
              <w:rPr>
                <w:rFonts w:asciiTheme="majorBidi" w:eastAsia="Times New Roman" w:hAnsiTheme="majorBidi" w:cstheme="majorBidi"/>
                <w:lang w:eastAsia="en-GB"/>
              </w:rPr>
              <w:t>40-50%</w:t>
            </w:r>
          </w:p>
        </w:tc>
        <w:tc>
          <w:tcPr>
            <w:tcW w:w="124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25</w:t>
            </w:r>
          </w:p>
        </w:tc>
        <w:tc>
          <w:tcPr>
            <w:tcW w:w="128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25%</w:t>
            </w:r>
          </w:p>
        </w:tc>
      </w:tr>
      <w:tr w:rsidR="005E0CA3" w:rsidRPr="00282D55" w:rsidTr="00A83281">
        <w:trPr>
          <w:trHeight w:val="273"/>
        </w:trPr>
        <w:tc>
          <w:tcPr>
            <w:tcW w:w="1378" w:type="dxa"/>
            <w:tcBorders>
              <w:top w:val="single" w:sz="2" w:space="0" w:color="auto"/>
              <w:bottom w:val="single" w:sz="2" w:space="0" w:color="auto"/>
              <w:righ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p>
        </w:tc>
        <w:tc>
          <w:tcPr>
            <w:tcW w:w="1431" w:type="dxa"/>
            <w:tcBorders>
              <w:lef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r w:rsidRPr="00282D55">
              <w:rPr>
                <w:rFonts w:asciiTheme="majorBidi" w:eastAsia="Times New Roman" w:hAnsiTheme="majorBidi" w:cstheme="majorBidi"/>
                <w:lang w:eastAsia="en-GB"/>
              </w:rPr>
              <w:t>50-60%</w:t>
            </w:r>
          </w:p>
        </w:tc>
        <w:tc>
          <w:tcPr>
            <w:tcW w:w="124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6</w:t>
            </w:r>
          </w:p>
        </w:tc>
        <w:tc>
          <w:tcPr>
            <w:tcW w:w="128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6%</w:t>
            </w:r>
          </w:p>
        </w:tc>
      </w:tr>
      <w:tr w:rsidR="005E0CA3" w:rsidRPr="00282D55" w:rsidTr="00A83281">
        <w:trPr>
          <w:trHeight w:val="273"/>
        </w:trPr>
        <w:tc>
          <w:tcPr>
            <w:tcW w:w="1378" w:type="dxa"/>
            <w:tcBorders>
              <w:top w:val="single" w:sz="2" w:space="0" w:color="auto"/>
              <w:bottom w:val="single" w:sz="2" w:space="0" w:color="auto"/>
              <w:righ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p>
        </w:tc>
        <w:tc>
          <w:tcPr>
            <w:tcW w:w="1431" w:type="dxa"/>
            <w:tcBorders>
              <w:left w:val="nil"/>
            </w:tcBorders>
            <w:hideMark/>
          </w:tcPr>
          <w:p w:rsidR="005E0CA3" w:rsidRPr="00282D55" w:rsidRDefault="005E0CA3" w:rsidP="00282D55">
            <w:pPr>
              <w:bidi w:val="0"/>
              <w:spacing w:line="360" w:lineRule="auto"/>
              <w:rPr>
                <w:rFonts w:asciiTheme="majorBidi" w:eastAsia="Times New Roman" w:hAnsiTheme="majorBidi" w:cstheme="majorBidi"/>
                <w:lang w:eastAsia="en-GB"/>
              </w:rPr>
            </w:pPr>
            <w:r w:rsidRPr="00282D55">
              <w:rPr>
                <w:rFonts w:asciiTheme="majorBidi" w:eastAsia="Times New Roman" w:hAnsiTheme="majorBidi" w:cstheme="majorBidi"/>
                <w:lang w:eastAsia="en-GB"/>
              </w:rPr>
              <w:t>&gt;60%</w:t>
            </w:r>
          </w:p>
        </w:tc>
        <w:tc>
          <w:tcPr>
            <w:tcW w:w="124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8</w:t>
            </w:r>
          </w:p>
        </w:tc>
        <w:tc>
          <w:tcPr>
            <w:tcW w:w="1287" w:type="dxa"/>
            <w:noWrap/>
            <w:vAlign w:val="center"/>
            <w:hideMark/>
          </w:tcPr>
          <w:p w:rsidR="005E0CA3" w:rsidRPr="00282D55" w:rsidRDefault="005E0CA3" w:rsidP="00282D55">
            <w:pPr>
              <w:autoSpaceDE w:val="0"/>
              <w:autoSpaceDN w:val="0"/>
              <w:bidi w:val="0"/>
              <w:adjustRightInd w:val="0"/>
              <w:spacing w:line="360" w:lineRule="auto"/>
              <w:ind w:left="60" w:right="60"/>
              <w:rPr>
                <w:rFonts w:asciiTheme="majorBidi" w:hAnsiTheme="majorBidi" w:cstheme="majorBidi"/>
              </w:rPr>
            </w:pPr>
            <w:r w:rsidRPr="00282D55">
              <w:rPr>
                <w:rFonts w:asciiTheme="majorBidi" w:hAnsiTheme="majorBidi" w:cstheme="majorBidi"/>
              </w:rPr>
              <w:t>8%</w:t>
            </w:r>
          </w:p>
        </w:tc>
      </w:tr>
      <w:tr w:rsidR="005E0CA3" w:rsidRPr="00282D55" w:rsidTr="00A83281">
        <w:trPr>
          <w:trHeight w:val="273"/>
        </w:trPr>
        <w:tc>
          <w:tcPr>
            <w:tcW w:w="5343" w:type="dxa"/>
            <w:gridSpan w:val="4"/>
            <w:tcBorders>
              <w:top w:val="single" w:sz="2" w:space="0" w:color="auto"/>
              <w:left w:val="nil"/>
              <w:bottom w:val="nil"/>
              <w:right w:val="nil"/>
            </w:tcBorders>
            <w:hideMark/>
          </w:tcPr>
          <w:p w:rsidR="005E0CA3" w:rsidRPr="00282D55" w:rsidRDefault="005E0CA3" w:rsidP="00282D55">
            <w:pPr>
              <w:autoSpaceDE w:val="0"/>
              <w:autoSpaceDN w:val="0"/>
              <w:bidi w:val="0"/>
              <w:adjustRightInd w:val="0"/>
              <w:spacing w:line="360" w:lineRule="auto"/>
              <w:ind w:left="60" w:right="60"/>
              <w:jc w:val="right"/>
              <w:rPr>
                <w:rFonts w:asciiTheme="majorBidi" w:hAnsiTheme="majorBidi" w:cstheme="majorBidi"/>
              </w:rPr>
            </w:pPr>
          </w:p>
        </w:tc>
      </w:tr>
    </w:tbl>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 xml:space="preserve">       Table 2 Total body surface area of burn  </w:t>
      </w:r>
    </w:p>
    <w:p w:rsidR="005E0CA3" w:rsidRPr="00282D55" w:rsidRDefault="005E0CA3" w:rsidP="00282D55">
      <w:pPr>
        <w:bidi w:val="0"/>
        <w:spacing w:line="360" w:lineRule="auto"/>
        <w:rPr>
          <w:rFonts w:asciiTheme="majorBidi" w:hAnsiTheme="majorBidi" w:cstheme="majorBidi"/>
        </w:rPr>
      </w:pPr>
    </w:p>
    <w:tbl>
      <w:tblPr>
        <w:tblStyle w:val="TableGrid"/>
        <w:tblW w:w="0" w:type="auto"/>
        <w:tblInd w:w="2299" w:type="dxa"/>
        <w:tblLook w:val="0000"/>
      </w:tblPr>
      <w:tblGrid>
        <w:gridCol w:w="31"/>
        <w:gridCol w:w="2158"/>
        <w:gridCol w:w="1833"/>
        <w:gridCol w:w="1890"/>
      </w:tblGrid>
      <w:tr w:rsidR="005E0CA3" w:rsidRPr="00282D55" w:rsidTr="00A83281">
        <w:trPr>
          <w:trHeight w:val="574"/>
        </w:trPr>
        <w:tc>
          <w:tcPr>
            <w:tcW w:w="2189" w:type="dxa"/>
            <w:gridSpan w:val="2"/>
            <w:tcBorders>
              <w:top w:val="single" w:sz="2" w:space="0" w:color="auto"/>
              <w:left w:val="single" w:sz="2" w:space="0" w:color="auto"/>
              <w:bottom w:val="nil"/>
            </w:tcBorders>
            <w:shd w:val="clear" w:color="auto" w:fill="auto"/>
          </w:tcPr>
          <w:p w:rsidR="005E0CA3" w:rsidRPr="00282D55" w:rsidRDefault="005E0CA3" w:rsidP="00282D55">
            <w:pPr>
              <w:bidi w:val="0"/>
              <w:spacing w:line="360" w:lineRule="auto"/>
              <w:ind w:left="87"/>
              <w:jc w:val="center"/>
              <w:rPr>
                <w:rFonts w:asciiTheme="majorBidi" w:hAnsiTheme="majorBidi" w:cstheme="majorBidi"/>
              </w:rPr>
            </w:pPr>
            <w:r w:rsidRPr="00282D55">
              <w:rPr>
                <w:rFonts w:asciiTheme="majorBidi" w:eastAsia="Times New Roman" w:hAnsiTheme="majorBidi" w:cstheme="majorBidi"/>
                <w:lang w:eastAsia="en-GB"/>
              </w:rPr>
              <w:t>Degree</w:t>
            </w:r>
          </w:p>
        </w:tc>
        <w:tc>
          <w:tcPr>
            <w:tcW w:w="1833" w:type="dxa"/>
            <w:shd w:val="clear" w:color="auto" w:fill="auto"/>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Frequency</w:t>
            </w:r>
          </w:p>
        </w:tc>
        <w:tc>
          <w:tcPr>
            <w:tcW w:w="1890"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Percentage</w:t>
            </w:r>
          </w:p>
        </w:tc>
      </w:tr>
      <w:tr w:rsidR="005E0CA3" w:rsidRPr="00282D55" w:rsidTr="00A83281">
        <w:tblPrEx>
          <w:tblLook w:val="04A0"/>
        </w:tblPrEx>
        <w:trPr>
          <w:gridBefore w:val="1"/>
          <w:wBefore w:w="31" w:type="dxa"/>
          <w:trHeight w:val="370"/>
        </w:trPr>
        <w:tc>
          <w:tcPr>
            <w:tcW w:w="2158" w:type="dxa"/>
            <w:tcBorders>
              <w:left w:val="single" w:sz="2" w:space="0" w:color="auto"/>
            </w:tcBorders>
            <w:hideMark/>
          </w:tcPr>
          <w:p w:rsidR="005E0CA3" w:rsidRPr="00282D55" w:rsidRDefault="005E0CA3" w:rsidP="00282D55">
            <w:pPr>
              <w:bidi w:val="0"/>
              <w:spacing w:line="360" w:lineRule="auto"/>
              <w:jc w:val="center"/>
              <w:rPr>
                <w:rFonts w:asciiTheme="majorBidi" w:eastAsia="Times New Roman" w:hAnsiTheme="majorBidi" w:cstheme="majorBidi"/>
                <w:lang w:eastAsia="en-GB"/>
              </w:rPr>
            </w:pPr>
            <w:r w:rsidRPr="00282D55">
              <w:rPr>
                <w:rFonts w:asciiTheme="majorBidi" w:eastAsia="Times New Roman" w:hAnsiTheme="majorBidi" w:cstheme="majorBidi"/>
                <w:lang w:eastAsia="en-GB"/>
              </w:rPr>
              <w:t>II</w:t>
            </w:r>
          </w:p>
        </w:tc>
        <w:tc>
          <w:tcPr>
            <w:tcW w:w="1833" w:type="dxa"/>
            <w:noWrap/>
            <w:vAlign w:val="center"/>
            <w:hideMark/>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 xml:space="preserve"> 38</w:t>
            </w:r>
          </w:p>
        </w:tc>
        <w:tc>
          <w:tcPr>
            <w:tcW w:w="1890" w:type="dxa"/>
            <w:noWrap/>
            <w:vAlign w:val="center"/>
            <w:hideMark/>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38%</w:t>
            </w:r>
          </w:p>
        </w:tc>
      </w:tr>
      <w:tr w:rsidR="005E0CA3" w:rsidRPr="00282D55" w:rsidTr="00A83281">
        <w:tblPrEx>
          <w:tblLook w:val="04A0"/>
        </w:tblPrEx>
        <w:trPr>
          <w:gridBefore w:val="1"/>
          <w:wBefore w:w="31" w:type="dxa"/>
          <w:trHeight w:val="370"/>
        </w:trPr>
        <w:tc>
          <w:tcPr>
            <w:tcW w:w="2158" w:type="dxa"/>
            <w:tcBorders>
              <w:left w:val="single" w:sz="2" w:space="0" w:color="auto"/>
            </w:tcBorders>
            <w:hideMark/>
          </w:tcPr>
          <w:p w:rsidR="005E0CA3" w:rsidRPr="00282D55" w:rsidRDefault="005E0CA3" w:rsidP="00282D55">
            <w:pPr>
              <w:bidi w:val="0"/>
              <w:spacing w:line="360" w:lineRule="auto"/>
              <w:jc w:val="center"/>
              <w:rPr>
                <w:rFonts w:asciiTheme="majorBidi" w:eastAsia="Times New Roman" w:hAnsiTheme="majorBidi" w:cstheme="majorBidi"/>
                <w:lang w:eastAsia="en-GB"/>
              </w:rPr>
            </w:pPr>
            <w:r w:rsidRPr="00282D55">
              <w:rPr>
                <w:rFonts w:asciiTheme="majorBidi" w:eastAsia="Times New Roman" w:hAnsiTheme="majorBidi" w:cstheme="majorBidi"/>
                <w:lang w:eastAsia="en-GB"/>
              </w:rPr>
              <w:t>III</w:t>
            </w:r>
          </w:p>
        </w:tc>
        <w:tc>
          <w:tcPr>
            <w:tcW w:w="1833" w:type="dxa"/>
            <w:noWrap/>
            <w:vAlign w:val="center"/>
            <w:hideMark/>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 xml:space="preserve">11 </w:t>
            </w:r>
          </w:p>
        </w:tc>
        <w:tc>
          <w:tcPr>
            <w:tcW w:w="1890" w:type="dxa"/>
            <w:noWrap/>
            <w:vAlign w:val="center"/>
            <w:hideMark/>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r>
      <w:tr w:rsidR="005E0CA3" w:rsidRPr="00282D55" w:rsidTr="00A83281">
        <w:tblPrEx>
          <w:tblLook w:val="04A0"/>
        </w:tblPrEx>
        <w:trPr>
          <w:gridBefore w:val="1"/>
          <w:wBefore w:w="31" w:type="dxa"/>
          <w:trHeight w:val="370"/>
        </w:trPr>
        <w:tc>
          <w:tcPr>
            <w:tcW w:w="2158" w:type="dxa"/>
            <w:tcBorders>
              <w:left w:val="single" w:sz="2" w:space="0" w:color="auto"/>
            </w:tcBorders>
            <w:hideMark/>
          </w:tcPr>
          <w:p w:rsidR="005E0CA3" w:rsidRPr="00282D55" w:rsidRDefault="005E0CA3" w:rsidP="00282D55">
            <w:pPr>
              <w:bidi w:val="0"/>
              <w:spacing w:line="360" w:lineRule="auto"/>
              <w:jc w:val="center"/>
              <w:rPr>
                <w:rFonts w:asciiTheme="majorBidi" w:eastAsia="Times New Roman" w:hAnsiTheme="majorBidi" w:cstheme="majorBidi"/>
                <w:lang w:eastAsia="en-GB"/>
              </w:rPr>
            </w:pPr>
            <w:r w:rsidRPr="00282D55">
              <w:rPr>
                <w:rFonts w:asciiTheme="majorBidi" w:eastAsia="Times New Roman" w:hAnsiTheme="majorBidi" w:cstheme="majorBidi"/>
                <w:lang w:eastAsia="en-GB"/>
              </w:rPr>
              <w:t>II-III</w:t>
            </w:r>
          </w:p>
        </w:tc>
        <w:tc>
          <w:tcPr>
            <w:tcW w:w="1833" w:type="dxa"/>
            <w:noWrap/>
            <w:vAlign w:val="center"/>
            <w:hideMark/>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51</w:t>
            </w:r>
          </w:p>
        </w:tc>
        <w:tc>
          <w:tcPr>
            <w:tcW w:w="1890" w:type="dxa"/>
            <w:noWrap/>
            <w:vAlign w:val="center"/>
            <w:hideMark/>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51%</w:t>
            </w:r>
          </w:p>
        </w:tc>
      </w:tr>
    </w:tbl>
    <w:p w:rsidR="005E0CA3" w:rsidRPr="00282D55" w:rsidRDefault="005E0CA3" w:rsidP="00282D55">
      <w:pPr>
        <w:bidi w:val="0"/>
        <w:spacing w:line="360" w:lineRule="auto"/>
        <w:rPr>
          <w:rFonts w:asciiTheme="majorBidi" w:hAnsiTheme="majorBidi" w:cstheme="majorBidi"/>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Table 3 Degree of burn</w:t>
      </w: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pStyle w:val="Heading1"/>
        <w:bidi w:val="0"/>
        <w:spacing w:line="360" w:lineRule="auto"/>
        <w:rPr>
          <w:color w:val="auto"/>
        </w:rPr>
      </w:pPr>
      <w:bookmarkStart w:id="9" w:name="_Toc36963359"/>
      <w:r w:rsidRPr="00282D55">
        <w:rPr>
          <w:color w:val="auto"/>
        </w:rPr>
        <w:t xml:space="preserve">Effect of burn on HCT, Total WBC and PLT during </w:t>
      </w:r>
      <w:r w:rsidR="002B5D5B">
        <w:rPr>
          <w:color w:val="auto"/>
        </w:rPr>
        <w:t xml:space="preserve">the first </w:t>
      </w:r>
      <w:r w:rsidRPr="00282D55">
        <w:rPr>
          <w:color w:val="auto"/>
        </w:rPr>
        <w:t>three weeks</w:t>
      </w:r>
      <w:bookmarkEnd w:id="9"/>
    </w:p>
    <w:p w:rsidR="005E0CA3" w:rsidRPr="00282D55" w:rsidRDefault="003F4CB7" w:rsidP="00282D55">
      <w:pPr>
        <w:bidi w:val="0"/>
        <w:spacing w:line="360" w:lineRule="auto"/>
        <w:rPr>
          <w:rFonts w:asciiTheme="majorBidi" w:hAnsiTheme="majorBidi" w:cstheme="majorBidi"/>
        </w:rPr>
      </w:pPr>
      <w:r>
        <w:rPr>
          <w:rFonts w:asciiTheme="majorBidi" w:hAnsiTheme="majorBidi" w:cstheme="majorBidi"/>
        </w:rPr>
        <w:t>The results in figures (1,2,3</w:t>
      </w:r>
      <w:r w:rsidR="005E0CA3" w:rsidRPr="00282D55">
        <w:rPr>
          <w:rFonts w:asciiTheme="majorBidi" w:hAnsiTheme="majorBidi" w:cstheme="majorBidi"/>
        </w:rPr>
        <w:t>) show Hematocrit (HCT) level, total white blood cell (WBC × 10</w:t>
      </w:r>
      <w:r w:rsidR="005E0CA3" w:rsidRPr="00282D55">
        <w:rPr>
          <w:rFonts w:asciiTheme="majorBidi" w:hAnsiTheme="majorBidi" w:cstheme="majorBidi"/>
          <w:vertAlign w:val="superscript"/>
        </w:rPr>
        <w:t>9</w:t>
      </w:r>
      <w:r w:rsidR="005E0CA3" w:rsidRPr="00282D55">
        <w:rPr>
          <w:rFonts w:asciiTheme="majorBidi" w:hAnsiTheme="majorBidi" w:cstheme="majorBidi"/>
        </w:rPr>
        <w:t>/L), Platelet (PLT× 10</w:t>
      </w:r>
      <w:r w:rsidR="005E0CA3" w:rsidRPr="00282D55">
        <w:rPr>
          <w:rFonts w:asciiTheme="majorBidi" w:hAnsiTheme="majorBidi" w:cstheme="majorBidi"/>
          <w:vertAlign w:val="superscript"/>
        </w:rPr>
        <w:t>9</w:t>
      </w:r>
      <w:r w:rsidR="005E0CA3" w:rsidRPr="00282D55">
        <w:rPr>
          <w:rFonts w:asciiTheme="majorBidi" w:hAnsiTheme="majorBidi" w:cstheme="majorBidi"/>
        </w:rPr>
        <w:t xml:space="preserve">/L) count. </w:t>
      </w:r>
    </w:p>
    <w:p w:rsidR="005E0CA3" w:rsidRPr="00282D55" w:rsidRDefault="009064C6" w:rsidP="009064C6">
      <w:pPr>
        <w:bidi w:val="0"/>
        <w:spacing w:line="360" w:lineRule="auto"/>
        <w:rPr>
          <w:rFonts w:asciiTheme="majorBidi" w:hAnsiTheme="majorBidi" w:cstheme="majorBidi"/>
        </w:rPr>
      </w:pPr>
      <w:r>
        <w:rPr>
          <w:rFonts w:asciiTheme="majorBidi" w:hAnsiTheme="majorBidi" w:cstheme="majorBidi"/>
        </w:rPr>
        <w:t>H</w:t>
      </w:r>
      <w:r w:rsidR="00C60FC8">
        <w:rPr>
          <w:rFonts w:asciiTheme="majorBidi" w:hAnsiTheme="majorBidi" w:cstheme="majorBidi"/>
        </w:rPr>
        <w:t>ematocrit level decreased</w:t>
      </w:r>
      <w:r>
        <w:rPr>
          <w:rFonts w:asciiTheme="majorBidi" w:hAnsiTheme="majorBidi" w:cstheme="majorBidi"/>
        </w:rPr>
        <w:t xml:space="preserve"> in burn patients compare to normal people</w:t>
      </w:r>
      <w:r w:rsidR="00C60FC8">
        <w:rPr>
          <w:rFonts w:asciiTheme="majorBidi" w:hAnsiTheme="majorBidi" w:cstheme="majorBidi"/>
        </w:rPr>
        <w:t xml:space="preserve"> in all three week, especially in second and third week.</w:t>
      </w:r>
    </w:p>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noProof/>
        </w:rPr>
        <w:drawing>
          <wp:inline distT="0" distB="0" distL="0" distR="0">
            <wp:extent cx="5210175" cy="2800350"/>
            <wp:effectExtent l="19050" t="0" r="9525"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0CA3" w:rsidRPr="00282D55" w:rsidRDefault="005E0CA3" w:rsidP="00282D55">
      <w:pPr>
        <w:bidi w:val="0"/>
        <w:spacing w:line="360" w:lineRule="auto"/>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1</w:t>
      </w:r>
      <w:r w:rsidR="00143A65">
        <w:rPr>
          <w:rFonts w:asciiTheme="majorBidi" w:hAnsiTheme="majorBidi" w:cstheme="majorBidi"/>
          <w:b/>
          <w:bCs/>
        </w:rPr>
        <w:t xml:space="preserve">. </w:t>
      </w:r>
      <w:r w:rsidRPr="00282D55">
        <w:rPr>
          <w:rFonts w:asciiTheme="majorBidi" w:hAnsiTheme="majorBidi" w:cstheme="majorBidi"/>
          <w:b/>
          <w:bCs/>
        </w:rPr>
        <w:t xml:space="preserve"> HCT value during </w:t>
      </w:r>
      <w:r w:rsidR="002B5D5B">
        <w:rPr>
          <w:rFonts w:asciiTheme="majorBidi" w:hAnsiTheme="majorBidi" w:cstheme="majorBidi"/>
          <w:b/>
          <w:bCs/>
        </w:rPr>
        <w:t xml:space="preserve">first </w:t>
      </w:r>
      <w:r w:rsidRPr="00282D55">
        <w:rPr>
          <w:rFonts w:asciiTheme="majorBidi" w:hAnsiTheme="majorBidi" w:cstheme="majorBidi"/>
          <w:b/>
          <w:bCs/>
        </w:rPr>
        <w:t>three weeks</w:t>
      </w:r>
    </w:p>
    <w:p w:rsidR="005E0CA3" w:rsidRPr="00282D55" w:rsidRDefault="005E0CA3" w:rsidP="00282D55">
      <w:pPr>
        <w:bidi w:val="0"/>
        <w:spacing w:line="360" w:lineRule="auto"/>
        <w:rPr>
          <w:rFonts w:asciiTheme="majorBidi" w:hAnsiTheme="majorBidi" w:cstheme="majorBidi"/>
        </w:rPr>
      </w:pP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D01080" w:rsidP="00282D55">
      <w:pPr>
        <w:bidi w:val="0"/>
        <w:spacing w:line="360" w:lineRule="auto"/>
        <w:rPr>
          <w:rFonts w:asciiTheme="majorBidi" w:hAnsiTheme="majorBidi" w:cstheme="majorBidi"/>
        </w:rPr>
      </w:pPr>
      <w:r>
        <w:rPr>
          <w:rFonts w:asciiTheme="majorBidi" w:hAnsiTheme="majorBidi" w:cstheme="majorBidi"/>
        </w:rPr>
        <w:t>Total WBC count w</w:t>
      </w:r>
      <w:r w:rsidR="00046663">
        <w:rPr>
          <w:rFonts w:asciiTheme="majorBidi" w:hAnsiTheme="majorBidi" w:cstheme="majorBidi"/>
        </w:rPr>
        <w:t>as</w:t>
      </w:r>
      <w:r w:rsidR="00A37979">
        <w:rPr>
          <w:rFonts w:asciiTheme="majorBidi" w:hAnsiTheme="majorBidi" w:cstheme="majorBidi"/>
        </w:rPr>
        <w:t xml:space="preserve"> mostly</w:t>
      </w:r>
      <w:r>
        <w:rPr>
          <w:rFonts w:asciiTheme="majorBidi" w:hAnsiTheme="majorBidi" w:cstheme="majorBidi"/>
        </w:rPr>
        <w:t xml:space="preserve"> increased in</w:t>
      </w:r>
      <w:r w:rsidR="00A37979">
        <w:rPr>
          <w:rFonts w:asciiTheme="majorBidi" w:hAnsiTheme="majorBidi" w:cstheme="majorBidi"/>
        </w:rPr>
        <w:t xml:space="preserve"> the burn patients in</w:t>
      </w:r>
      <w:r>
        <w:rPr>
          <w:rFonts w:asciiTheme="majorBidi" w:hAnsiTheme="majorBidi" w:cstheme="majorBidi"/>
        </w:rPr>
        <w:t xml:space="preserve"> all three</w:t>
      </w:r>
      <w:r w:rsidR="005E0CA3" w:rsidRPr="00282D55">
        <w:rPr>
          <w:rFonts w:asciiTheme="majorBidi" w:hAnsiTheme="majorBidi" w:cstheme="majorBidi"/>
        </w:rPr>
        <w:t xml:space="preserve"> week</w:t>
      </w:r>
      <w:r w:rsidR="0041246D">
        <w:rPr>
          <w:rFonts w:asciiTheme="majorBidi" w:hAnsiTheme="majorBidi" w:cstheme="majorBidi"/>
        </w:rPr>
        <w:t>s compare</w:t>
      </w:r>
      <w:r w:rsidR="00A37979">
        <w:rPr>
          <w:rFonts w:asciiTheme="majorBidi" w:hAnsiTheme="majorBidi" w:cstheme="majorBidi"/>
        </w:rPr>
        <w:t>d</w:t>
      </w:r>
      <w:r w:rsidR="0041246D">
        <w:rPr>
          <w:rFonts w:asciiTheme="majorBidi" w:hAnsiTheme="majorBidi" w:cstheme="majorBidi"/>
        </w:rPr>
        <w:t xml:space="preserve"> to a normal person.</w:t>
      </w:r>
    </w:p>
    <w:p w:rsidR="005E0CA3" w:rsidRPr="00282D55" w:rsidRDefault="005E0CA3" w:rsidP="00282D55">
      <w:pPr>
        <w:bidi w:val="0"/>
        <w:spacing w:line="360" w:lineRule="auto"/>
        <w:rPr>
          <w:rFonts w:asciiTheme="majorBidi" w:hAnsiTheme="majorBidi" w:cstheme="majorBidi"/>
        </w:rPr>
      </w:pPr>
    </w:p>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noProof/>
        </w:rPr>
        <w:lastRenderedPageBreak/>
        <w:drawing>
          <wp:inline distT="0" distB="0" distL="0" distR="0">
            <wp:extent cx="5210175" cy="2676525"/>
            <wp:effectExtent l="19050" t="0" r="9525"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0CA3" w:rsidRPr="00282D55" w:rsidRDefault="005E0CA3" w:rsidP="00282D55">
      <w:pPr>
        <w:bidi w:val="0"/>
        <w:spacing w:line="360" w:lineRule="auto"/>
        <w:jc w:val="center"/>
        <w:rPr>
          <w:rFonts w:asciiTheme="majorBidi" w:hAnsiTheme="majorBidi" w:cstheme="majorBidi"/>
        </w:rPr>
      </w:pPr>
    </w:p>
    <w:p w:rsidR="00A83281" w:rsidRPr="00282D55" w:rsidRDefault="00143A65" w:rsidP="002A6435">
      <w:pPr>
        <w:bidi w:val="0"/>
        <w:spacing w:line="360" w:lineRule="auto"/>
        <w:jc w:val="center"/>
        <w:rPr>
          <w:rFonts w:asciiTheme="majorBidi" w:hAnsiTheme="majorBidi" w:cstheme="majorBidi"/>
          <w:b/>
          <w:bCs/>
        </w:rPr>
      </w:pPr>
      <w:r>
        <w:rPr>
          <w:rFonts w:asciiTheme="majorBidi" w:hAnsiTheme="majorBidi" w:cstheme="majorBidi"/>
          <w:b/>
          <w:bCs/>
        </w:rPr>
        <w:t xml:space="preserve">Figure </w:t>
      </w:r>
      <w:r w:rsidR="004C0C1E">
        <w:rPr>
          <w:rFonts w:asciiTheme="majorBidi" w:hAnsiTheme="majorBidi" w:cstheme="majorBidi"/>
          <w:b/>
          <w:bCs/>
        </w:rPr>
        <w:t>2</w:t>
      </w:r>
      <w:r>
        <w:rPr>
          <w:rFonts w:asciiTheme="majorBidi" w:hAnsiTheme="majorBidi" w:cstheme="majorBidi"/>
          <w:b/>
          <w:bCs/>
        </w:rPr>
        <w:t xml:space="preserve">.  </w:t>
      </w:r>
      <w:r w:rsidR="005E0CA3" w:rsidRPr="00282D55">
        <w:rPr>
          <w:rFonts w:asciiTheme="majorBidi" w:hAnsiTheme="majorBidi" w:cstheme="majorBidi"/>
          <w:b/>
          <w:bCs/>
        </w:rPr>
        <w:t xml:space="preserve">Total WBC count during </w:t>
      </w:r>
      <w:r w:rsidR="002B5D5B">
        <w:rPr>
          <w:rFonts w:asciiTheme="majorBidi" w:hAnsiTheme="majorBidi" w:cstheme="majorBidi"/>
          <w:b/>
          <w:bCs/>
        </w:rPr>
        <w:t xml:space="preserve">first </w:t>
      </w:r>
      <w:r w:rsidR="005E0CA3" w:rsidRPr="00282D55">
        <w:rPr>
          <w:rFonts w:asciiTheme="majorBidi" w:hAnsiTheme="majorBidi" w:cstheme="majorBidi"/>
          <w:b/>
          <w:bCs/>
        </w:rPr>
        <w:t>three weeks</w:t>
      </w:r>
    </w:p>
    <w:p w:rsidR="00A37979" w:rsidRPr="00282D55" w:rsidRDefault="005E0CA3" w:rsidP="002A6435">
      <w:pPr>
        <w:bidi w:val="0"/>
        <w:spacing w:line="360" w:lineRule="auto"/>
        <w:rPr>
          <w:rFonts w:asciiTheme="majorBidi" w:hAnsiTheme="majorBidi" w:cstheme="majorBidi"/>
        </w:rPr>
      </w:pPr>
      <w:r w:rsidRPr="00282D55">
        <w:rPr>
          <w:rFonts w:asciiTheme="majorBidi" w:hAnsiTheme="majorBidi" w:cstheme="majorBidi"/>
        </w:rPr>
        <w:t>Platelet count lev</w:t>
      </w:r>
      <w:r w:rsidR="00A83281" w:rsidRPr="00282D55">
        <w:rPr>
          <w:rFonts w:asciiTheme="majorBidi" w:hAnsiTheme="majorBidi" w:cstheme="majorBidi"/>
        </w:rPr>
        <w:t>els decreased in the first week</w:t>
      </w:r>
      <w:r w:rsidRPr="00282D55">
        <w:rPr>
          <w:rFonts w:asciiTheme="majorBidi" w:hAnsiTheme="majorBidi" w:cstheme="majorBidi"/>
        </w:rPr>
        <w:t xml:space="preserve"> then incr</w:t>
      </w:r>
      <w:r w:rsidR="002A6435">
        <w:rPr>
          <w:rFonts w:asciiTheme="majorBidi" w:hAnsiTheme="majorBidi" w:cstheme="majorBidi"/>
        </w:rPr>
        <w:t xml:space="preserve">eased in second and third </w:t>
      </w:r>
      <w:r w:rsidR="00F77781">
        <w:rPr>
          <w:rFonts w:asciiTheme="majorBidi" w:hAnsiTheme="majorBidi" w:cstheme="majorBidi"/>
        </w:rPr>
        <w:t>week, but overall it still stayed</w:t>
      </w:r>
      <w:r w:rsidR="002A6435">
        <w:rPr>
          <w:rFonts w:asciiTheme="majorBidi" w:hAnsiTheme="majorBidi" w:cstheme="majorBidi"/>
        </w:rPr>
        <w:t xml:space="preserve"> at normal range, in majority of the patients platelet count was normal but it is decreased in some of the patients.</w:t>
      </w:r>
    </w:p>
    <w:p w:rsidR="005E0CA3" w:rsidRPr="00282D55" w:rsidRDefault="005E0CA3" w:rsidP="00282D55">
      <w:pPr>
        <w:bidi w:val="0"/>
        <w:spacing w:line="360" w:lineRule="auto"/>
        <w:rPr>
          <w:rFonts w:asciiTheme="majorBidi" w:hAnsiTheme="majorBidi" w:cstheme="majorBidi"/>
        </w:rPr>
      </w:pPr>
    </w:p>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noProof/>
        </w:rPr>
        <w:drawing>
          <wp:inline distT="0" distB="0" distL="0" distR="0">
            <wp:extent cx="5276850" cy="2924175"/>
            <wp:effectExtent l="19050" t="0" r="1905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3.</w:t>
      </w:r>
      <w:r w:rsidRPr="00282D55">
        <w:rPr>
          <w:rFonts w:asciiTheme="majorBidi" w:hAnsiTheme="majorBidi" w:cstheme="majorBidi"/>
          <w:b/>
          <w:bCs/>
        </w:rPr>
        <w:t xml:space="preserve"> PLT count levels in</w:t>
      </w:r>
      <w:r w:rsidR="002B5D5B">
        <w:rPr>
          <w:rFonts w:asciiTheme="majorBidi" w:hAnsiTheme="majorBidi" w:cstheme="majorBidi"/>
          <w:b/>
          <w:bCs/>
        </w:rPr>
        <w:t xml:space="preserve"> first</w:t>
      </w:r>
      <w:r w:rsidRPr="00282D55">
        <w:rPr>
          <w:rFonts w:asciiTheme="majorBidi" w:hAnsiTheme="majorBidi" w:cstheme="majorBidi"/>
          <w:b/>
          <w:bCs/>
        </w:rPr>
        <w:t xml:space="preserve"> three weeks</w:t>
      </w: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143A65">
      <w:pPr>
        <w:pStyle w:val="Heading1"/>
        <w:bidi w:val="0"/>
        <w:spacing w:line="360" w:lineRule="auto"/>
        <w:ind w:firstLine="720"/>
        <w:rPr>
          <w:color w:val="auto"/>
        </w:rPr>
      </w:pPr>
      <w:bookmarkStart w:id="10" w:name="_Toc36963360"/>
      <w:r w:rsidRPr="00282D55">
        <w:rPr>
          <w:color w:val="auto"/>
        </w:rPr>
        <w:t>Effect of burn on kidney function tests</w:t>
      </w:r>
      <w:bookmarkEnd w:id="10"/>
    </w:p>
    <w:p w:rsidR="005E0CA3" w:rsidRPr="00282D55" w:rsidRDefault="002A6435" w:rsidP="00887034">
      <w:pPr>
        <w:bidi w:val="0"/>
        <w:spacing w:line="360" w:lineRule="auto"/>
        <w:rPr>
          <w:rFonts w:asciiTheme="majorBidi" w:hAnsiTheme="majorBidi" w:cstheme="majorBidi"/>
        </w:rPr>
      </w:pPr>
      <w:r>
        <w:rPr>
          <w:rFonts w:asciiTheme="majorBidi" w:hAnsiTheme="majorBidi" w:cstheme="majorBidi"/>
        </w:rPr>
        <w:t>Our study showed that blood urea levels were increased</w:t>
      </w:r>
      <w:r w:rsidR="00887034">
        <w:rPr>
          <w:rFonts w:asciiTheme="majorBidi" w:hAnsiTheme="majorBidi" w:cstheme="majorBidi"/>
        </w:rPr>
        <w:t xml:space="preserve"> in burn patients in compare to normal subjects, the levels were decreasing gradually throughout the three weeks.</w:t>
      </w:r>
    </w:p>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noProof/>
        </w:rPr>
        <w:lastRenderedPageBreak/>
        <w:drawing>
          <wp:inline distT="0" distB="0" distL="0" distR="0">
            <wp:extent cx="5094103" cy="2764465"/>
            <wp:effectExtent l="19050" t="0" r="11297" b="0"/>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0CA3" w:rsidRPr="00282D55" w:rsidRDefault="005E0CA3" w:rsidP="00282D55">
      <w:pPr>
        <w:tabs>
          <w:tab w:val="left" w:pos="3210"/>
        </w:tabs>
        <w:bidi w:val="0"/>
        <w:spacing w:line="360" w:lineRule="auto"/>
        <w:jc w:val="center"/>
        <w:rPr>
          <w:rFonts w:asciiTheme="majorBidi" w:hAnsiTheme="majorBidi" w:cstheme="majorBidi"/>
          <w:b/>
          <w:bCs/>
        </w:rPr>
      </w:pPr>
    </w:p>
    <w:p w:rsidR="005E0CA3" w:rsidRPr="00282D55" w:rsidRDefault="005E0CA3" w:rsidP="00282D55">
      <w:pPr>
        <w:tabs>
          <w:tab w:val="left" w:pos="3210"/>
        </w:tabs>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4.</w:t>
      </w:r>
      <w:r w:rsidRPr="00282D55">
        <w:rPr>
          <w:rFonts w:asciiTheme="majorBidi" w:hAnsiTheme="majorBidi" w:cstheme="majorBidi"/>
          <w:b/>
          <w:bCs/>
        </w:rPr>
        <w:t xml:space="preserve"> B</w:t>
      </w:r>
      <w:r w:rsidR="004C0C1E">
        <w:rPr>
          <w:rFonts w:asciiTheme="majorBidi" w:hAnsiTheme="majorBidi" w:cstheme="majorBidi"/>
          <w:b/>
          <w:bCs/>
        </w:rPr>
        <w:t xml:space="preserve">lood </w:t>
      </w:r>
      <w:r w:rsidRPr="00282D55">
        <w:rPr>
          <w:rFonts w:asciiTheme="majorBidi" w:hAnsiTheme="majorBidi" w:cstheme="majorBidi"/>
          <w:b/>
          <w:bCs/>
        </w:rPr>
        <w:t>Ur</w:t>
      </w:r>
      <w:r w:rsidR="004C0C1E">
        <w:rPr>
          <w:rFonts w:asciiTheme="majorBidi" w:hAnsiTheme="majorBidi" w:cstheme="majorBidi"/>
          <w:b/>
          <w:bCs/>
        </w:rPr>
        <w:t>e</w:t>
      </w:r>
      <w:r w:rsidRPr="00282D55">
        <w:rPr>
          <w:rFonts w:asciiTheme="majorBidi" w:hAnsiTheme="majorBidi" w:cstheme="majorBidi"/>
          <w:b/>
          <w:bCs/>
        </w:rPr>
        <w:t xml:space="preserve">a level during </w:t>
      </w:r>
      <w:r w:rsidR="002B5D5B">
        <w:rPr>
          <w:rFonts w:asciiTheme="majorBidi" w:hAnsiTheme="majorBidi" w:cstheme="majorBidi"/>
          <w:b/>
          <w:bCs/>
        </w:rPr>
        <w:t xml:space="preserve">first </w:t>
      </w:r>
      <w:r w:rsidRPr="00282D55">
        <w:rPr>
          <w:rFonts w:asciiTheme="majorBidi" w:hAnsiTheme="majorBidi" w:cstheme="majorBidi"/>
          <w:b/>
          <w:bCs/>
        </w:rPr>
        <w:t>three weeks</w:t>
      </w:r>
    </w:p>
    <w:p w:rsidR="005E0CA3" w:rsidRPr="00282D55" w:rsidRDefault="00887034" w:rsidP="00282D55">
      <w:pPr>
        <w:tabs>
          <w:tab w:val="left" w:pos="3210"/>
        </w:tabs>
        <w:bidi w:val="0"/>
        <w:spacing w:line="360" w:lineRule="auto"/>
        <w:rPr>
          <w:rFonts w:asciiTheme="majorBidi" w:hAnsiTheme="majorBidi" w:cstheme="majorBidi"/>
        </w:rPr>
      </w:pPr>
      <w:r>
        <w:rPr>
          <w:rFonts w:asciiTheme="majorBidi" w:hAnsiTheme="majorBidi" w:cstheme="majorBidi"/>
        </w:rPr>
        <w:t>Serum creatinine level was normal in most of the patients, and it stayed normal in all three weeks.</w:t>
      </w:r>
    </w:p>
    <w:p w:rsidR="005E0CA3" w:rsidRPr="00282D55" w:rsidRDefault="005E0CA3" w:rsidP="00282D55">
      <w:pPr>
        <w:tabs>
          <w:tab w:val="left" w:pos="3210"/>
        </w:tabs>
        <w:bidi w:val="0"/>
        <w:spacing w:line="360" w:lineRule="auto"/>
        <w:rPr>
          <w:rFonts w:asciiTheme="majorBidi" w:hAnsiTheme="majorBidi" w:cstheme="majorBidi"/>
        </w:rPr>
      </w:pPr>
    </w:p>
    <w:p w:rsidR="005E0CA3" w:rsidRPr="00282D55" w:rsidRDefault="005E0CA3" w:rsidP="00282D55">
      <w:pPr>
        <w:tabs>
          <w:tab w:val="left" w:pos="3210"/>
        </w:tabs>
        <w:bidi w:val="0"/>
        <w:spacing w:line="360" w:lineRule="auto"/>
        <w:jc w:val="center"/>
        <w:rPr>
          <w:rFonts w:asciiTheme="majorBidi" w:hAnsiTheme="majorBidi" w:cstheme="majorBidi"/>
        </w:rPr>
      </w:pPr>
      <w:r w:rsidRPr="00282D55">
        <w:rPr>
          <w:rFonts w:asciiTheme="majorBidi" w:hAnsiTheme="majorBidi" w:cstheme="majorBidi"/>
          <w:noProof/>
        </w:rPr>
        <w:drawing>
          <wp:inline distT="0" distB="0" distL="0" distR="0">
            <wp:extent cx="5753100" cy="2457450"/>
            <wp:effectExtent l="19050" t="0" r="19050" b="0"/>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0CA3" w:rsidRPr="00282D55" w:rsidRDefault="005E0CA3" w:rsidP="00282D55">
      <w:pPr>
        <w:tabs>
          <w:tab w:val="left" w:pos="3210"/>
        </w:tabs>
        <w:bidi w:val="0"/>
        <w:spacing w:line="360" w:lineRule="auto"/>
        <w:jc w:val="center"/>
        <w:rPr>
          <w:rFonts w:asciiTheme="majorBidi" w:hAnsiTheme="majorBidi" w:cstheme="majorBidi"/>
        </w:rPr>
      </w:pPr>
    </w:p>
    <w:p w:rsidR="005E0CA3" w:rsidRPr="00282D55" w:rsidRDefault="005E0CA3" w:rsidP="00282D55">
      <w:pPr>
        <w:tabs>
          <w:tab w:val="left" w:pos="3210"/>
        </w:tabs>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5</w:t>
      </w:r>
      <w:r w:rsidR="00143A65">
        <w:rPr>
          <w:rFonts w:asciiTheme="majorBidi" w:hAnsiTheme="majorBidi" w:cstheme="majorBidi"/>
          <w:b/>
          <w:bCs/>
        </w:rPr>
        <w:t xml:space="preserve">. </w:t>
      </w:r>
      <w:r w:rsidRPr="00282D55">
        <w:rPr>
          <w:rFonts w:asciiTheme="majorBidi" w:hAnsiTheme="majorBidi" w:cstheme="majorBidi"/>
          <w:b/>
          <w:bCs/>
        </w:rPr>
        <w:t xml:space="preserve"> Serum creatinine level during </w:t>
      </w:r>
      <w:r w:rsidR="002B5D5B">
        <w:rPr>
          <w:rFonts w:asciiTheme="majorBidi" w:hAnsiTheme="majorBidi" w:cstheme="majorBidi"/>
          <w:b/>
          <w:bCs/>
        </w:rPr>
        <w:t xml:space="preserve">first </w:t>
      </w:r>
      <w:r w:rsidRPr="00282D55">
        <w:rPr>
          <w:rFonts w:asciiTheme="majorBidi" w:hAnsiTheme="majorBidi" w:cstheme="majorBidi"/>
          <w:b/>
          <w:bCs/>
        </w:rPr>
        <w:t>three weeks</w:t>
      </w:r>
    </w:p>
    <w:p w:rsidR="005E0CA3" w:rsidRPr="00282D55" w:rsidRDefault="005E0CA3" w:rsidP="001C2679">
      <w:pPr>
        <w:bidi w:val="0"/>
        <w:spacing w:line="360" w:lineRule="auto"/>
        <w:rPr>
          <w:rFonts w:asciiTheme="majorBidi" w:hAnsiTheme="majorBidi" w:cstheme="majorBidi"/>
          <w:b/>
          <w:bCs/>
        </w:rPr>
      </w:pPr>
    </w:p>
    <w:p w:rsidR="005E0CA3" w:rsidRPr="00282D55" w:rsidRDefault="00143A65" w:rsidP="00282D55">
      <w:pPr>
        <w:pStyle w:val="Heading1"/>
        <w:bidi w:val="0"/>
        <w:spacing w:line="360" w:lineRule="auto"/>
        <w:rPr>
          <w:color w:val="auto"/>
        </w:rPr>
      </w:pPr>
      <w:bookmarkStart w:id="11" w:name="_Toc36963361"/>
      <w:r>
        <w:rPr>
          <w:color w:val="auto"/>
        </w:rPr>
        <w:tab/>
      </w:r>
      <w:r w:rsidR="005E0CA3" w:rsidRPr="00282D55">
        <w:rPr>
          <w:color w:val="auto"/>
        </w:rPr>
        <w:t>Effect of burn on total serum protein and serum albumin</w:t>
      </w:r>
      <w:bookmarkEnd w:id="11"/>
    </w:p>
    <w:p w:rsidR="005E0CA3" w:rsidRPr="00282D55" w:rsidRDefault="00887034" w:rsidP="00282D55">
      <w:pPr>
        <w:tabs>
          <w:tab w:val="left" w:pos="3210"/>
        </w:tabs>
        <w:bidi w:val="0"/>
        <w:spacing w:line="360" w:lineRule="auto"/>
        <w:rPr>
          <w:rFonts w:asciiTheme="majorBidi" w:hAnsiTheme="majorBidi" w:cstheme="majorBidi"/>
        </w:rPr>
      </w:pPr>
      <w:r>
        <w:rPr>
          <w:rFonts w:asciiTheme="majorBidi" w:hAnsiTheme="majorBidi" w:cstheme="majorBidi"/>
        </w:rPr>
        <w:t xml:space="preserve">Our results showed that levels of total serum protein </w:t>
      </w:r>
      <w:r w:rsidR="00D11FD7">
        <w:rPr>
          <w:rFonts w:asciiTheme="majorBidi" w:hAnsiTheme="majorBidi" w:cstheme="majorBidi"/>
        </w:rPr>
        <w:t>are</w:t>
      </w:r>
      <w:r>
        <w:rPr>
          <w:rFonts w:asciiTheme="majorBidi" w:hAnsiTheme="majorBidi" w:cstheme="majorBidi"/>
        </w:rPr>
        <w:t xml:space="preserve"> decreased </w:t>
      </w:r>
      <w:r w:rsidR="00F77781">
        <w:rPr>
          <w:rFonts w:asciiTheme="majorBidi" w:hAnsiTheme="majorBidi" w:cstheme="majorBidi"/>
        </w:rPr>
        <w:t xml:space="preserve">in burn patients </w:t>
      </w:r>
      <w:r>
        <w:rPr>
          <w:rFonts w:asciiTheme="majorBidi" w:hAnsiTheme="majorBidi" w:cstheme="majorBidi"/>
        </w:rPr>
        <w:t>compared to normal subjects</w:t>
      </w:r>
      <w:r w:rsidR="00342939">
        <w:rPr>
          <w:rFonts w:asciiTheme="majorBidi" w:hAnsiTheme="majorBidi" w:cstheme="majorBidi"/>
        </w:rPr>
        <w:t xml:space="preserve"> in all three weeks.</w:t>
      </w:r>
    </w:p>
    <w:p w:rsidR="005E0CA3" w:rsidRPr="00282D55" w:rsidRDefault="005E0CA3" w:rsidP="00282D55">
      <w:pPr>
        <w:tabs>
          <w:tab w:val="left" w:pos="3210"/>
        </w:tabs>
        <w:bidi w:val="0"/>
        <w:spacing w:line="360" w:lineRule="auto"/>
        <w:jc w:val="center"/>
        <w:rPr>
          <w:rFonts w:asciiTheme="majorBidi" w:hAnsiTheme="majorBidi" w:cstheme="majorBidi"/>
        </w:rPr>
      </w:pPr>
      <w:r w:rsidRPr="00282D55">
        <w:rPr>
          <w:rFonts w:asciiTheme="majorBidi" w:hAnsiTheme="majorBidi" w:cstheme="majorBidi"/>
          <w:noProof/>
        </w:rPr>
        <w:lastRenderedPageBreak/>
        <w:drawing>
          <wp:inline distT="0" distB="0" distL="0" distR="0">
            <wp:extent cx="5486400" cy="2971800"/>
            <wp:effectExtent l="19050" t="0" r="19050"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0CA3" w:rsidRPr="00282D55" w:rsidRDefault="005E0CA3" w:rsidP="00282D55">
      <w:pPr>
        <w:tabs>
          <w:tab w:val="left" w:pos="3210"/>
        </w:tabs>
        <w:bidi w:val="0"/>
        <w:spacing w:line="360" w:lineRule="auto"/>
        <w:jc w:val="center"/>
        <w:rPr>
          <w:rFonts w:asciiTheme="majorBidi" w:hAnsiTheme="majorBidi" w:cstheme="majorBidi"/>
        </w:rPr>
      </w:pPr>
    </w:p>
    <w:p w:rsidR="005E0CA3" w:rsidRPr="00282D55" w:rsidRDefault="005E0CA3" w:rsidP="00282D55">
      <w:pPr>
        <w:tabs>
          <w:tab w:val="left" w:pos="3210"/>
        </w:tabs>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6</w:t>
      </w:r>
      <w:r w:rsidR="00143A65">
        <w:rPr>
          <w:rFonts w:asciiTheme="majorBidi" w:hAnsiTheme="majorBidi" w:cstheme="majorBidi"/>
          <w:b/>
          <w:bCs/>
        </w:rPr>
        <w:t xml:space="preserve">. </w:t>
      </w:r>
      <w:r w:rsidRPr="00282D55">
        <w:rPr>
          <w:rFonts w:asciiTheme="majorBidi" w:hAnsiTheme="majorBidi" w:cstheme="majorBidi"/>
          <w:b/>
          <w:bCs/>
        </w:rPr>
        <w:t xml:space="preserve">Total serum protein levels during three weeks </w:t>
      </w:r>
    </w:p>
    <w:p w:rsidR="005E0CA3" w:rsidRDefault="005E0CA3" w:rsidP="00282D55">
      <w:pPr>
        <w:bidi w:val="0"/>
        <w:spacing w:line="360" w:lineRule="auto"/>
        <w:rPr>
          <w:rFonts w:asciiTheme="majorBidi" w:hAnsiTheme="majorBidi" w:cstheme="majorBidi"/>
        </w:rPr>
      </w:pPr>
    </w:p>
    <w:p w:rsidR="00342939" w:rsidRDefault="00342939" w:rsidP="00342939">
      <w:pPr>
        <w:bidi w:val="0"/>
        <w:spacing w:line="360" w:lineRule="auto"/>
        <w:rPr>
          <w:rFonts w:asciiTheme="majorBidi" w:hAnsiTheme="majorBidi" w:cstheme="majorBidi"/>
        </w:rPr>
      </w:pPr>
    </w:p>
    <w:p w:rsidR="00342939" w:rsidRDefault="00342939" w:rsidP="00342939">
      <w:pPr>
        <w:bidi w:val="0"/>
        <w:spacing w:line="360" w:lineRule="auto"/>
        <w:rPr>
          <w:rFonts w:asciiTheme="majorBidi" w:hAnsiTheme="majorBidi" w:cstheme="majorBidi"/>
        </w:rPr>
      </w:pPr>
    </w:p>
    <w:p w:rsidR="00D11FD7" w:rsidRPr="00282D55" w:rsidRDefault="00D11FD7" w:rsidP="00D11FD7">
      <w:pPr>
        <w:tabs>
          <w:tab w:val="left" w:pos="3210"/>
        </w:tabs>
        <w:bidi w:val="0"/>
        <w:spacing w:line="360" w:lineRule="auto"/>
        <w:rPr>
          <w:rFonts w:asciiTheme="majorBidi" w:hAnsiTheme="majorBidi" w:cstheme="majorBidi"/>
        </w:rPr>
      </w:pPr>
      <w:r>
        <w:rPr>
          <w:rFonts w:asciiTheme="majorBidi" w:hAnsiTheme="majorBidi" w:cstheme="majorBidi"/>
        </w:rPr>
        <w:t>Our results showed that levels of serum albumin are decreased compared to normal subjects in all three weeks.</w:t>
      </w:r>
    </w:p>
    <w:p w:rsidR="00342939" w:rsidRPr="00282D55" w:rsidRDefault="00342939" w:rsidP="00342939">
      <w:pPr>
        <w:bidi w:val="0"/>
        <w:spacing w:line="360" w:lineRule="auto"/>
        <w:rPr>
          <w:rFonts w:asciiTheme="majorBidi" w:hAnsiTheme="majorBidi" w:cstheme="majorBidi"/>
        </w:rPr>
      </w:pPr>
    </w:p>
    <w:p w:rsidR="005E0CA3" w:rsidRPr="00282D55" w:rsidRDefault="005E0CA3" w:rsidP="00282D55">
      <w:pPr>
        <w:tabs>
          <w:tab w:val="left" w:pos="975"/>
        </w:tabs>
        <w:bidi w:val="0"/>
        <w:spacing w:line="360" w:lineRule="auto"/>
        <w:jc w:val="center"/>
        <w:rPr>
          <w:rFonts w:asciiTheme="majorBidi" w:hAnsiTheme="majorBidi" w:cstheme="majorBidi"/>
        </w:rPr>
      </w:pPr>
      <w:r w:rsidRPr="00282D55">
        <w:rPr>
          <w:rFonts w:asciiTheme="majorBidi" w:hAnsiTheme="majorBidi" w:cstheme="majorBidi"/>
          <w:noProof/>
        </w:rPr>
        <w:drawing>
          <wp:inline distT="0" distB="0" distL="0" distR="0">
            <wp:extent cx="5610225" cy="2847975"/>
            <wp:effectExtent l="19050" t="0" r="9525" b="0"/>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0CA3" w:rsidRPr="00282D55" w:rsidRDefault="005E0CA3" w:rsidP="00282D55">
      <w:pPr>
        <w:tabs>
          <w:tab w:val="left" w:pos="975"/>
        </w:tabs>
        <w:bidi w:val="0"/>
        <w:spacing w:line="360" w:lineRule="auto"/>
        <w:jc w:val="center"/>
        <w:rPr>
          <w:rFonts w:asciiTheme="majorBidi" w:hAnsiTheme="majorBidi" w:cstheme="majorBidi"/>
        </w:rPr>
      </w:pPr>
    </w:p>
    <w:p w:rsidR="005E0CA3" w:rsidRPr="00282D55" w:rsidRDefault="002D7DD9" w:rsidP="00282D55">
      <w:pPr>
        <w:bidi w:val="0"/>
        <w:spacing w:line="360" w:lineRule="auto"/>
        <w:jc w:val="center"/>
        <w:rPr>
          <w:rFonts w:asciiTheme="majorBidi" w:hAnsiTheme="majorBidi" w:cstheme="majorBidi"/>
          <w:b/>
          <w:bCs/>
        </w:rPr>
      </w:pPr>
      <w:r>
        <w:rPr>
          <w:rFonts w:asciiTheme="majorBidi" w:hAnsiTheme="majorBidi" w:cstheme="majorBidi"/>
          <w:b/>
          <w:bCs/>
        </w:rPr>
        <w:t xml:space="preserve">Figure </w:t>
      </w:r>
      <w:r w:rsidR="004C0C1E">
        <w:rPr>
          <w:rFonts w:asciiTheme="majorBidi" w:hAnsiTheme="majorBidi" w:cstheme="majorBidi"/>
          <w:b/>
          <w:bCs/>
        </w:rPr>
        <w:t>7</w:t>
      </w:r>
      <w:r w:rsidR="00143A65">
        <w:rPr>
          <w:rFonts w:asciiTheme="majorBidi" w:hAnsiTheme="majorBidi" w:cstheme="majorBidi"/>
          <w:b/>
          <w:bCs/>
        </w:rPr>
        <w:t>.</w:t>
      </w:r>
      <w:r w:rsidR="005E0CA3" w:rsidRPr="00282D55">
        <w:rPr>
          <w:rFonts w:asciiTheme="majorBidi" w:hAnsiTheme="majorBidi" w:cstheme="majorBidi"/>
          <w:b/>
          <w:bCs/>
        </w:rPr>
        <w:t xml:space="preserve"> serum albumin levels during three weeks</w:t>
      </w:r>
    </w:p>
    <w:p w:rsidR="005E0CA3" w:rsidRPr="00282D55" w:rsidRDefault="005E0CA3" w:rsidP="00282D55">
      <w:pPr>
        <w:bidi w:val="0"/>
        <w:spacing w:line="360" w:lineRule="auto"/>
        <w:rPr>
          <w:rFonts w:asciiTheme="majorBidi" w:hAnsiTheme="majorBidi" w:cstheme="majorBidi"/>
          <w:b/>
          <w:bCs/>
        </w:rPr>
      </w:pPr>
    </w:p>
    <w:p w:rsidR="005E0CA3" w:rsidRPr="00282D55" w:rsidRDefault="005E0CA3" w:rsidP="00143A65">
      <w:pPr>
        <w:pStyle w:val="Heading1"/>
        <w:bidi w:val="0"/>
        <w:spacing w:line="360" w:lineRule="auto"/>
        <w:ind w:firstLine="720"/>
        <w:rPr>
          <w:color w:val="auto"/>
        </w:rPr>
      </w:pPr>
      <w:bookmarkStart w:id="12" w:name="_Toc36963362"/>
      <w:r w:rsidRPr="00282D55">
        <w:rPr>
          <w:color w:val="auto"/>
        </w:rPr>
        <w:lastRenderedPageBreak/>
        <w:t>Relation between Total WBC count change and Total body surface area</w:t>
      </w:r>
      <w:bookmarkEnd w:id="12"/>
    </w:p>
    <w:p w:rsidR="005E0CA3" w:rsidRPr="00282D55" w:rsidRDefault="005E0CA3" w:rsidP="00282D55">
      <w:pPr>
        <w:tabs>
          <w:tab w:val="left" w:pos="975"/>
        </w:tabs>
        <w:bidi w:val="0"/>
        <w:spacing w:line="360" w:lineRule="auto"/>
        <w:rPr>
          <w:rFonts w:asciiTheme="majorBidi" w:hAnsiTheme="majorBidi" w:cstheme="majorBidi"/>
          <w:sz w:val="26"/>
          <w:szCs w:val="26"/>
        </w:rPr>
      </w:pPr>
      <w:r w:rsidRPr="00282D55">
        <w:rPr>
          <w:rFonts w:asciiTheme="majorBidi" w:hAnsiTheme="majorBidi" w:cstheme="majorBidi"/>
        </w:rPr>
        <w:t xml:space="preserve">To detect the relation, we collected the result of total WBC during the three weeks and compared each week to the total body surface area, change in the Total WBC count has occurred, but it has no relation with total body surface area, (P </w:t>
      </w:r>
      <w:r w:rsidRPr="00282D55">
        <w:rPr>
          <w:rFonts w:asciiTheme="majorBidi" w:hAnsiTheme="majorBidi" w:cstheme="majorBidi"/>
          <w:sz w:val="26"/>
          <w:szCs w:val="26"/>
        </w:rPr>
        <w:t xml:space="preserve">&gt; 0.05) </w:t>
      </w:r>
      <w:r w:rsidRPr="00282D55">
        <w:rPr>
          <w:rFonts w:asciiTheme="majorBidi" w:hAnsiTheme="majorBidi" w:cstheme="majorBidi"/>
        </w:rPr>
        <w:t>in other words it is not statistically significant</w:t>
      </w:r>
      <w:r w:rsidRPr="00282D55">
        <w:rPr>
          <w:rFonts w:asciiTheme="majorBidi" w:hAnsiTheme="majorBidi" w:cstheme="majorBidi"/>
          <w:sz w:val="26"/>
          <w:szCs w:val="26"/>
        </w:rPr>
        <w:t>.</w:t>
      </w:r>
    </w:p>
    <w:p w:rsidR="005E0CA3" w:rsidRPr="00282D55" w:rsidRDefault="005E0CA3" w:rsidP="00282D55">
      <w:pPr>
        <w:tabs>
          <w:tab w:val="left" w:pos="975"/>
        </w:tabs>
        <w:bidi w:val="0"/>
        <w:spacing w:line="360" w:lineRule="auto"/>
        <w:rPr>
          <w:rFonts w:asciiTheme="majorBidi" w:hAnsiTheme="majorBidi" w:cstheme="majorBidi"/>
          <w:sz w:val="26"/>
          <w:szCs w:val="26"/>
        </w:rPr>
      </w:pPr>
    </w:p>
    <w:p w:rsidR="005E0CA3" w:rsidRPr="00282D55" w:rsidRDefault="005E0CA3" w:rsidP="00282D55">
      <w:pPr>
        <w:tabs>
          <w:tab w:val="left" w:pos="975"/>
        </w:tabs>
        <w:bidi w:val="0"/>
        <w:spacing w:line="360" w:lineRule="auto"/>
        <w:jc w:val="center"/>
        <w:rPr>
          <w:rFonts w:asciiTheme="majorBidi" w:hAnsiTheme="majorBidi" w:cstheme="majorBidi"/>
          <w:sz w:val="26"/>
          <w:szCs w:val="26"/>
        </w:rPr>
      </w:pPr>
      <w:r w:rsidRPr="00282D55">
        <w:rPr>
          <w:rFonts w:asciiTheme="majorBidi" w:hAnsiTheme="majorBidi" w:cstheme="majorBidi"/>
          <w:noProof/>
          <w:sz w:val="26"/>
          <w:szCs w:val="26"/>
        </w:rPr>
        <w:drawing>
          <wp:inline distT="0" distB="0" distL="0" distR="0">
            <wp:extent cx="5200650" cy="2543175"/>
            <wp:effectExtent l="19050" t="0" r="19050" b="0"/>
            <wp:docPr id="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0CA3" w:rsidRPr="00282D55" w:rsidRDefault="005E0CA3" w:rsidP="00282D55">
      <w:pPr>
        <w:tabs>
          <w:tab w:val="left" w:pos="2580"/>
        </w:tabs>
        <w:bidi w:val="0"/>
        <w:spacing w:line="360" w:lineRule="auto"/>
        <w:jc w:val="center"/>
        <w:rPr>
          <w:rFonts w:asciiTheme="majorBidi" w:hAnsiTheme="majorBidi" w:cstheme="majorBidi"/>
        </w:rPr>
      </w:pPr>
    </w:p>
    <w:p w:rsidR="005E0CA3" w:rsidRPr="00282D55" w:rsidRDefault="005E0CA3" w:rsidP="00282D55">
      <w:pPr>
        <w:tabs>
          <w:tab w:val="left" w:pos="2580"/>
        </w:tabs>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8</w:t>
      </w:r>
      <w:r w:rsidR="00143A65">
        <w:rPr>
          <w:rFonts w:asciiTheme="majorBidi" w:hAnsiTheme="majorBidi" w:cstheme="majorBidi"/>
          <w:b/>
          <w:bCs/>
        </w:rPr>
        <w:t>.</w:t>
      </w:r>
      <w:r w:rsidRPr="00282D55">
        <w:rPr>
          <w:rFonts w:asciiTheme="majorBidi" w:hAnsiTheme="majorBidi" w:cstheme="majorBidi"/>
          <w:b/>
          <w:bCs/>
        </w:rPr>
        <w:t xml:space="preserve"> Total body surface area and total WBC count change in the first week </w:t>
      </w:r>
    </w:p>
    <w:p w:rsidR="005E0CA3" w:rsidRPr="00282D55" w:rsidRDefault="005E0CA3" w:rsidP="00282D55">
      <w:pPr>
        <w:tabs>
          <w:tab w:val="left" w:pos="2580"/>
        </w:tabs>
        <w:bidi w:val="0"/>
        <w:spacing w:line="360" w:lineRule="auto"/>
        <w:jc w:val="center"/>
        <w:rPr>
          <w:rFonts w:asciiTheme="majorBidi" w:hAnsiTheme="majorBidi" w:cstheme="majorBidi"/>
        </w:rPr>
      </w:pPr>
    </w:p>
    <w:p w:rsidR="005E0CA3" w:rsidRPr="00282D55" w:rsidRDefault="005E0CA3" w:rsidP="00282D55">
      <w:pPr>
        <w:tabs>
          <w:tab w:val="left" w:pos="2580"/>
        </w:tabs>
        <w:bidi w:val="0"/>
        <w:spacing w:line="360" w:lineRule="auto"/>
        <w:jc w:val="center"/>
        <w:rPr>
          <w:rFonts w:asciiTheme="majorBidi" w:hAnsiTheme="majorBidi" w:cstheme="majorBidi"/>
        </w:rPr>
      </w:pPr>
      <w:r w:rsidRPr="00282D55">
        <w:rPr>
          <w:rFonts w:asciiTheme="majorBidi" w:hAnsiTheme="majorBidi" w:cstheme="majorBidi"/>
          <w:noProof/>
        </w:rPr>
        <w:drawing>
          <wp:inline distT="0" distB="0" distL="0" distR="0">
            <wp:extent cx="5343525" cy="2638425"/>
            <wp:effectExtent l="19050" t="0" r="9525" b="0"/>
            <wp:docPr id="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0CA3" w:rsidRPr="00282D55" w:rsidRDefault="005E0CA3" w:rsidP="00282D55">
      <w:pPr>
        <w:tabs>
          <w:tab w:val="left" w:pos="2580"/>
        </w:tabs>
        <w:bidi w:val="0"/>
        <w:spacing w:line="360" w:lineRule="auto"/>
        <w:jc w:val="center"/>
        <w:rPr>
          <w:rFonts w:asciiTheme="majorBidi" w:hAnsiTheme="majorBidi" w:cstheme="majorBidi"/>
        </w:rPr>
      </w:pPr>
    </w:p>
    <w:p w:rsidR="005E0CA3" w:rsidRPr="00282D55" w:rsidRDefault="005E0CA3" w:rsidP="00282D55">
      <w:pPr>
        <w:tabs>
          <w:tab w:val="left" w:pos="2580"/>
        </w:tabs>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9</w:t>
      </w:r>
      <w:r w:rsidR="00143A65">
        <w:rPr>
          <w:rFonts w:asciiTheme="majorBidi" w:hAnsiTheme="majorBidi" w:cstheme="majorBidi"/>
          <w:b/>
          <w:bCs/>
        </w:rPr>
        <w:t>.</w:t>
      </w:r>
      <w:r w:rsidRPr="00282D55">
        <w:rPr>
          <w:rFonts w:asciiTheme="majorBidi" w:hAnsiTheme="majorBidi" w:cstheme="majorBidi"/>
          <w:b/>
          <w:bCs/>
        </w:rPr>
        <w:t xml:space="preserve"> Total body surface area and total WBC count change in the second week</w:t>
      </w:r>
    </w:p>
    <w:p w:rsidR="005E0CA3" w:rsidRPr="00282D55" w:rsidRDefault="005E0CA3" w:rsidP="00282D55">
      <w:pPr>
        <w:tabs>
          <w:tab w:val="left" w:pos="2580"/>
        </w:tabs>
        <w:bidi w:val="0"/>
        <w:spacing w:line="360" w:lineRule="auto"/>
        <w:jc w:val="center"/>
        <w:rPr>
          <w:rFonts w:asciiTheme="majorBidi" w:hAnsiTheme="majorBidi" w:cstheme="majorBidi"/>
        </w:rPr>
      </w:pPr>
    </w:p>
    <w:p w:rsidR="005E0CA3" w:rsidRPr="00282D55" w:rsidRDefault="005E0CA3" w:rsidP="00282D55">
      <w:pPr>
        <w:tabs>
          <w:tab w:val="left" w:pos="2580"/>
        </w:tabs>
        <w:bidi w:val="0"/>
        <w:spacing w:line="360" w:lineRule="auto"/>
        <w:jc w:val="center"/>
        <w:rPr>
          <w:rFonts w:asciiTheme="majorBidi" w:hAnsiTheme="majorBidi" w:cstheme="majorBidi"/>
          <w:b/>
          <w:bCs/>
        </w:rPr>
      </w:pPr>
    </w:p>
    <w:p w:rsidR="005E0CA3" w:rsidRPr="00282D55" w:rsidRDefault="005E0CA3" w:rsidP="00282D55">
      <w:pPr>
        <w:tabs>
          <w:tab w:val="left" w:pos="2580"/>
        </w:tabs>
        <w:bidi w:val="0"/>
        <w:spacing w:line="360" w:lineRule="auto"/>
        <w:jc w:val="center"/>
        <w:rPr>
          <w:rFonts w:asciiTheme="majorBidi" w:hAnsiTheme="majorBidi" w:cstheme="majorBidi"/>
          <w:b/>
          <w:bCs/>
        </w:rPr>
      </w:pPr>
    </w:p>
    <w:p w:rsidR="00A83281" w:rsidRPr="00282D55" w:rsidRDefault="00A83281" w:rsidP="00282D55">
      <w:pPr>
        <w:tabs>
          <w:tab w:val="left" w:pos="2580"/>
        </w:tabs>
        <w:bidi w:val="0"/>
        <w:spacing w:line="360" w:lineRule="auto"/>
        <w:jc w:val="center"/>
        <w:rPr>
          <w:rFonts w:asciiTheme="majorBidi" w:hAnsiTheme="majorBidi" w:cstheme="majorBidi"/>
          <w:b/>
          <w:bCs/>
        </w:rPr>
      </w:pPr>
    </w:p>
    <w:p w:rsidR="005E0CA3" w:rsidRPr="00282D55" w:rsidRDefault="005E0CA3" w:rsidP="00282D55">
      <w:pPr>
        <w:tabs>
          <w:tab w:val="left" w:pos="2580"/>
        </w:tabs>
        <w:bidi w:val="0"/>
        <w:spacing w:line="360" w:lineRule="auto"/>
        <w:jc w:val="center"/>
        <w:rPr>
          <w:rFonts w:asciiTheme="majorBidi" w:hAnsiTheme="majorBidi" w:cstheme="majorBidi"/>
          <w:b/>
          <w:bCs/>
        </w:rPr>
      </w:pPr>
      <w:r w:rsidRPr="00282D55">
        <w:rPr>
          <w:rFonts w:asciiTheme="majorBidi" w:hAnsiTheme="majorBidi" w:cstheme="majorBidi"/>
          <w:noProof/>
        </w:rPr>
        <w:lastRenderedPageBreak/>
        <w:drawing>
          <wp:inline distT="0" distB="0" distL="0" distR="0">
            <wp:extent cx="5305425" cy="2647950"/>
            <wp:effectExtent l="19050" t="0" r="9525" b="0"/>
            <wp:docPr id="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2679" w:rsidRDefault="001C2679" w:rsidP="001C2679">
      <w:pPr>
        <w:bidi w:val="0"/>
        <w:spacing w:line="360" w:lineRule="auto"/>
        <w:rPr>
          <w:rFonts w:asciiTheme="majorBidi" w:hAnsiTheme="majorBidi" w:cstheme="majorBidi"/>
          <w:b/>
          <w:bCs/>
        </w:rPr>
      </w:pPr>
    </w:p>
    <w:p w:rsidR="001C2679" w:rsidRDefault="005E0CA3" w:rsidP="001C2679">
      <w:pPr>
        <w:bidi w:val="0"/>
        <w:spacing w:line="360" w:lineRule="auto"/>
        <w:jc w:val="center"/>
        <w:rPr>
          <w:rFonts w:asciiTheme="majorBidi" w:hAnsiTheme="majorBidi" w:cstheme="majorBidi"/>
          <w:b/>
          <w:bCs/>
        </w:rPr>
      </w:pPr>
      <w:r w:rsidRPr="00282D55">
        <w:rPr>
          <w:rFonts w:asciiTheme="majorBidi" w:hAnsiTheme="majorBidi" w:cstheme="majorBidi"/>
          <w:b/>
          <w:bCs/>
        </w:rPr>
        <w:t>Figure1</w:t>
      </w:r>
      <w:r w:rsidR="004C0C1E">
        <w:rPr>
          <w:rFonts w:asciiTheme="majorBidi" w:hAnsiTheme="majorBidi" w:cstheme="majorBidi"/>
          <w:b/>
          <w:bCs/>
        </w:rPr>
        <w:t>0</w:t>
      </w:r>
      <w:r w:rsidR="00143A65">
        <w:rPr>
          <w:rFonts w:asciiTheme="majorBidi" w:hAnsiTheme="majorBidi" w:cstheme="majorBidi"/>
          <w:b/>
          <w:bCs/>
        </w:rPr>
        <w:t>.</w:t>
      </w:r>
      <w:r w:rsidRPr="00282D55">
        <w:rPr>
          <w:rFonts w:asciiTheme="majorBidi" w:hAnsiTheme="majorBidi" w:cstheme="majorBidi"/>
          <w:b/>
          <w:bCs/>
        </w:rPr>
        <w:t xml:space="preserve"> Total body surface area and total WBC count change in the third week</w:t>
      </w:r>
    </w:p>
    <w:p w:rsidR="001C2679" w:rsidRDefault="001C2679" w:rsidP="00282D55">
      <w:pPr>
        <w:tabs>
          <w:tab w:val="left" w:pos="255"/>
        </w:tabs>
        <w:bidi w:val="0"/>
        <w:spacing w:line="360" w:lineRule="auto"/>
        <w:jc w:val="center"/>
        <w:rPr>
          <w:rFonts w:asciiTheme="majorBidi" w:hAnsiTheme="majorBidi" w:cstheme="majorBidi"/>
          <w:b/>
          <w:bCs/>
        </w:rPr>
      </w:pPr>
    </w:p>
    <w:p w:rsidR="00FD1F3E" w:rsidRDefault="00FD1F3E" w:rsidP="00FD1F3E">
      <w:pPr>
        <w:tabs>
          <w:tab w:val="left" w:pos="255"/>
        </w:tabs>
        <w:bidi w:val="0"/>
        <w:spacing w:line="360" w:lineRule="auto"/>
        <w:jc w:val="center"/>
        <w:rPr>
          <w:rFonts w:asciiTheme="majorBidi" w:hAnsiTheme="majorBidi" w:cstheme="majorBidi"/>
          <w:b/>
          <w:bCs/>
        </w:rPr>
      </w:pPr>
    </w:p>
    <w:p w:rsidR="00FD1F3E" w:rsidRDefault="00FD1F3E" w:rsidP="00FD1F3E">
      <w:pPr>
        <w:tabs>
          <w:tab w:val="left" w:pos="255"/>
        </w:tabs>
        <w:bidi w:val="0"/>
        <w:spacing w:line="360" w:lineRule="auto"/>
        <w:jc w:val="center"/>
        <w:rPr>
          <w:rFonts w:asciiTheme="majorBidi" w:hAnsiTheme="majorBidi" w:cstheme="majorBidi"/>
          <w:b/>
          <w:bCs/>
        </w:rPr>
      </w:pPr>
    </w:p>
    <w:p w:rsidR="001C2679" w:rsidRDefault="001C2679" w:rsidP="001C2679">
      <w:pPr>
        <w:tabs>
          <w:tab w:val="left" w:pos="255"/>
        </w:tabs>
        <w:bidi w:val="0"/>
        <w:spacing w:line="360" w:lineRule="auto"/>
        <w:jc w:val="center"/>
        <w:rPr>
          <w:rFonts w:asciiTheme="majorBidi" w:hAnsiTheme="majorBidi" w:cstheme="majorBidi"/>
          <w:b/>
          <w:bCs/>
        </w:rPr>
      </w:pPr>
    </w:p>
    <w:p w:rsidR="001C2679" w:rsidRDefault="001C2679" w:rsidP="001C2679">
      <w:pPr>
        <w:tabs>
          <w:tab w:val="left" w:pos="255"/>
        </w:tabs>
        <w:bidi w:val="0"/>
        <w:spacing w:line="360" w:lineRule="auto"/>
        <w:jc w:val="center"/>
        <w:rPr>
          <w:rFonts w:asciiTheme="majorBidi" w:hAnsiTheme="majorBidi" w:cstheme="majorBidi"/>
          <w:b/>
          <w:bCs/>
        </w:rPr>
      </w:pPr>
    </w:p>
    <w:p w:rsidR="001C2679" w:rsidRPr="001C2679" w:rsidRDefault="001C2679" w:rsidP="00143A65">
      <w:pPr>
        <w:pStyle w:val="Heading1"/>
        <w:bidi w:val="0"/>
        <w:spacing w:line="360" w:lineRule="auto"/>
        <w:ind w:firstLine="720"/>
        <w:rPr>
          <w:color w:val="auto"/>
        </w:rPr>
      </w:pPr>
      <w:bookmarkStart w:id="13" w:name="_Toc36963363"/>
      <w:r w:rsidRPr="001C2679">
        <w:rPr>
          <w:color w:val="auto"/>
        </w:rPr>
        <w:t>Mortality rate</w:t>
      </w:r>
      <w:bookmarkEnd w:id="13"/>
    </w:p>
    <w:p w:rsidR="001C2679" w:rsidRPr="001C2679" w:rsidRDefault="001C2679" w:rsidP="002A43BB">
      <w:pPr>
        <w:tabs>
          <w:tab w:val="left" w:pos="4002"/>
        </w:tabs>
        <w:bidi w:val="0"/>
        <w:spacing w:line="360" w:lineRule="auto"/>
        <w:rPr>
          <w:rFonts w:asciiTheme="majorBidi" w:hAnsiTheme="majorBidi" w:cstheme="majorBidi"/>
          <w:b/>
          <w:bCs/>
        </w:rPr>
      </w:pPr>
      <w:r w:rsidRPr="00282D55">
        <w:rPr>
          <w:rFonts w:asciiTheme="majorBidi" w:hAnsiTheme="majorBidi" w:cstheme="majorBidi"/>
        </w:rPr>
        <w:t>In a total of 100 patients, 11 of them have died, and 89 of them survived.</w:t>
      </w:r>
    </w:p>
    <w:p w:rsidR="001C2679" w:rsidRDefault="001C2679" w:rsidP="001C2679">
      <w:pPr>
        <w:tabs>
          <w:tab w:val="left" w:pos="255"/>
        </w:tabs>
        <w:bidi w:val="0"/>
        <w:spacing w:line="360" w:lineRule="auto"/>
        <w:rPr>
          <w:rFonts w:asciiTheme="majorBidi" w:hAnsiTheme="majorBidi" w:cstheme="majorBidi"/>
          <w:b/>
          <w:bCs/>
        </w:rPr>
      </w:pPr>
    </w:p>
    <w:p w:rsidR="005E0CA3" w:rsidRPr="00282D55" w:rsidRDefault="005E0CA3" w:rsidP="001C2679">
      <w:pPr>
        <w:tabs>
          <w:tab w:val="left" w:pos="255"/>
        </w:tabs>
        <w:bidi w:val="0"/>
        <w:spacing w:line="360" w:lineRule="auto"/>
        <w:jc w:val="center"/>
        <w:rPr>
          <w:rFonts w:asciiTheme="majorBidi" w:hAnsiTheme="majorBidi" w:cstheme="majorBidi"/>
          <w:b/>
          <w:bCs/>
        </w:rPr>
      </w:pPr>
      <w:r w:rsidRPr="00282D55">
        <w:rPr>
          <w:rFonts w:asciiTheme="majorBidi" w:hAnsiTheme="majorBidi" w:cstheme="majorBidi"/>
          <w:b/>
          <w:bCs/>
          <w:noProof/>
        </w:rPr>
        <w:drawing>
          <wp:inline distT="0" distB="0" distL="0" distR="0">
            <wp:extent cx="4382829" cy="2785730"/>
            <wp:effectExtent l="19050" t="0" r="17721" b="0"/>
            <wp:docPr id="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rPr>
        <w:tab/>
      </w:r>
      <w:r w:rsidRPr="00282D55">
        <w:rPr>
          <w:rFonts w:asciiTheme="majorBidi" w:hAnsiTheme="majorBidi" w:cstheme="majorBidi"/>
          <w:b/>
          <w:bCs/>
        </w:rPr>
        <w:t>Figure 1</w:t>
      </w:r>
      <w:r w:rsidR="004C0C1E">
        <w:rPr>
          <w:rFonts w:asciiTheme="majorBidi" w:hAnsiTheme="majorBidi" w:cstheme="majorBidi"/>
          <w:b/>
          <w:bCs/>
        </w:rPr>
        <w:t>1</w:t>
      </w:r>
      <w:r w:rsidR="00143A65">
        <w:rPr>
          <w:rFonts w:asciiTheme="majorBidi" w:hAnsiTheme="majorBidi" w:cstheme="majorBidi"/>
          <w:b/>
          <w:bCs/>
        </w:rPr>
        <w:t>.</w:t>
      </w:r>
      <w:r w:rsidRPr="00282D55">
        <w:rPr>
          <w:rFonts w:asciiTheme="majorBidi" w:hAnsiTheme="majorBidi" w:cstheme="majorBidi"/>
          <w:b/>
          <w:bCs/>
        </w:rPr>
        <w:t xml:space="preserve"> Mortality </w:t>
      </w:r>
      <w:r w:rsidR="00A83281" w:rsidRPr="00282D55">
        <w:rPr>
          <w:rFonts w:asciiTheme="majorBidi" w:hAnsiTheme="majorBidi" w:cstheme="majorBidi"/>
          <w:b/>
          <w:bCs/>
        </w:rPr>
        <w:t>rate</w:t>
      </w:r>
      <w:r w:rsidRPr="00282D55">
        <w:rPr>
          <w:rFonts w:asciiTheme="majorBidi" w:hAnsiTheme="majorBidi" w:cstheme="majorBidi"/>
          <w:b/>
          <w:bCs/>
        </w:rPr>
        <w:t xml:space="preserve"> of the burn patients</w:t>
      </w:r>
    </w:p>
    <w:p w:rsidR="005E0CA3" w:rsidRPr="00282D55" w:rsidRDefault="005E0CA3" w:rsidP="00282D55">
      <w:pPr>
        <w:tabs>
          <w:tab w:val="left" w:pos="4002"/>
        </w:tabs>
        <w:bidi w:val="0"/>
        <w:spacing w:line="360" w:lineRule="auto"/>
        <w:rPr>
          <w:rFonts w:asciiTheme="majorBidi" w:hAnsiTheme="majorBidi" w:cstheme="majorBidi"/>
          <w:b/>
          <w:bCs/>
        </w:rPr>
      </w:pPr>
    </w:p>
    <w:p w:rsidR="005E0CA3" w:rsidRPr="00282D55" w:rsidRDefault="005E0CA3" w:rsidP="00143A65">
      <w:pPr>
        <w:pStyle w:val="Heading2"/>
        <w:bidi w:val="0"/>
        <w:spacing w:line="360" w:lineRule="auto"/>
        <w:ind w:firstLine="720"/>
        <w:rPr>
          <w:color w:val="auto"/>
        </w:rPr>
      </w:pPr>
      <w:bookmarkStart w:id="14" w:name="_Toc36963364"/>
      <w:r w:rsidRPr="00282D55">
        <w:rPr>
          <w:color w:val="auto"/>
        </w:rPr>
        <w:lastRenderedPageBreak/>
        <w:t>Mortality rate according to the total body surface area and degree of burn</w:t>
      </w:r>
      <w:bookmarkEnd w:id="14"/>
    </w:p>
    <w:p w:rsidR="005E0CA3" w:rsidRPr="00282D55" w:rsidRDefault="005E0CA3" w:rsidP="001C2679">
      <w:pPr>
        <w:bidi w:val="0"/>
        <w:spacing w:line="360" w:lineRule="auto"/>
        <w:rPr>
          <w:rFonts w:asciiTheme="majorBidi" w:hAnsiTheme="majorBidi" w:cstheme="majorBidi"/>
        </w:rPr>
      </w:pPr>
      <w:r w:rsidRPr="00282D55">
        <w:rPr>
          <w:rFonts w:asciiTheme="majorBidi" w:hAnsiTheme="majorBidi" w:cstheme="majorBidi"/>
        </w:rPr>
        <w:t xml:space="preserve">36% of the patients who died had TBSA% of more than 60%. And 72% of them had II and III degree burns. </w:t>
      </w:r>
    </w:p>
    <w:p w:rsidR="005E0CA3" w:rsidRPr="00282D55" w:rsidRDefault="005E0CA3" w:rsidP="00282D55">
      <w:pPr>
        <w:pStyle w:val="Subtitle"/>
        <w:spacing w:line="360" w:lineRule="auto"/>
        <w:jc w:val="center"/>
        <w:rPr>
          <w:i w:val="0"/>
          <w:iCs w:val="0"/>
          <w:color w:val="auto"/>
        </w:rPr>
      </w:pPr>
      <w:r w:rsidRPr="00282D55">
        <w:rPr>
          <w:i w:val="0"/>
          <w:iCs w:val="0"/>
          <w:noProof/>
          <w:color w:val="auto"/>
        </w:rPr>
        <w:drawing>
          <wp:inline distT="0" distB="0" distL="0" distR="0">
            <wp:extent cx="4862874" cy="2785731"/>
            <wp:effectExtent l="19050" t="0" r="13926"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Figure 1</w:t>
      </w:r>
      <w:r w:rsidR="004C0C1E">
        <w:rPr>
          <w:rFonts w:asciiTheme="majorBidi" w:hAnsiTheme="majorBidi" w:cstheme="majorBidi"/>
          <w:b/>
          <w:bCs/>
        </w:rPr>
        <w:t>2</w:t>
      </w:r>
      <w:r w:rsidR="00143A65">
        <w:rPr>
          <w:rFonts w:asciiTheme="majorBidi" w:hAnsiTheme="majorBidi" w:cstheme="majorBidi"/>
          <w:b/>
          <w:bCs/>
        </w:rPr>
        <w:t xml:space="preserve">. </w:t>
      </w:r>
      <w:r w:rsidRPr="00282D55">
        <w:rPr>
          <w:rFonts w:asciiTheme="majorBidi" w:hAnsiTheme="majorBidi" w:cstheme="majorBidi"/>
          <w:b/>
          <w:bCs/>
        </w:rPr>
        <w:t xml:space="preserve"> Mortality rate according to total body the surface area </w:t>
      </w: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rPr>
      </w:pPr>
    </w:p>
    <w:p w:rsidR="005E0CA3" w:rsidRPr="00282D55" w:rsidRDefault="005E0CA3" w:rsidP="00282D55">
      <w:pPr>
        <w:bidi w:val="0"/>
        <w:spacing w:line="360" w:lineRule="auto"/>
        <w:jc w:val="center"/>
      </w:pPr>
      <w:r w:rsidRPr="00282D55">
        <w:rPr>
          <w:noProof/>
        </w:rPr>
        <w:drawing>
          <wp:inline distT="0" distB="0" distL="0" distR="0">
            <wp:extent cx="4933950" cy="2828925"/>
            <wp:effectExtent l="19050" t="0" r="1905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Figure 1</w:t>
      </w:r>
      <w:r w:rsidR="004C0C1E">
        <w:rPr>
          <w:rFonts w:asciiTheme="majorBidi" w:hAnsiTheme="majorBidi" w:cstheme="majorBidi"/>
          <w:b/>
          <w:bCs/>
        </w:rPr>
        <w:t>3</w:t>
      </w:r>
      <w:r w:rsidR="00143A65">
        <w:rPr>
          <w:rFonts w:asciiTheme="majorBidi" w:hAnsiTheme="majorBidi" w:cstheme="majorBidi"/>
          <w:b/>
          <w:bCs/>
        </w:rPr>
        <w:t xml:space="preserve">. </w:t>
      </w:r>
      <w:r w:rsidRPr="00282D55">
        <w:rPr>
          <w:rFonts w:asciiTheme="majorBidi" w:hAnsiTheme="majorBidi" w:cstheme="majorBidi"/>
          <w:b/>
          <w:bCs/>
        </w:rPr>
        <w:t xml:space="preserve"> Mortality rate according to degree of burn </w:t>
      </w:r>
    </w:p>
    <w:p w:rsidR="005E0CA3" w:rsidRPr="00282D55" w:rsidRDefault="005E0CA3" w:rsidP="00282D55">
      <w:pPr>
        <w:bidi w:val="0"/>
        <w:spacing w:line="360" w:lineRule="auto"/>
        <w:rPr>
          <w:rFonts w:asciiTheme="majorBidi" w:hAnsiTheme="majorBidi" w:cstheme="majorBidi"/>
          <w:rtl/>
        </w:rPr>
      </w:pPr>
    </w:p>
    <w:p w:rsidR="005E0CA3" w:rsidRPr="00282D55" w:rsidRDefault="005E0CA3" w:rsidP="00282D55">
      <w:pPr>
        <w:bidi w:val="0"/>
        <w:spacing w:line="360" w:lineRule="auto"/>
        <w:rPr>
          <w:rFonts w:asciiTheme="majorBidi" w:hAnsiTheme="majorBidi" w:cstheme="majorBidi"/>
          <w:rtl/>
        </w:rPr>
      </w:pPr>
    </w:p>
    <w:p w:rsidR="00A83281" w:rsidRPr="002A43BB" w:rsidRDefault="005E0CA3" w:rsidP="00143A65">
      <w:pPr>
        <w:pStyle w:val="Heading2"/>
        <w:bidi w:val="0"/>
        <w:spacing w:line="360" w:lineRule="auto"/>
        <w:ind w:firstLine="720"/>
        <w:rPr>
          <w:color w:val="auto"/>
        </w:rPr>
      </w:pPr>
      <w:bookmarkStart w:id="15" w:name="_Toc36963365"/>
      <w:r w:rsidRPr="00282D55">
        <w:rPr>
          <w:color w:val="auto"/>
        </w:rPr>
        <w:t>Mor</w:t>
      </w:r>
      <w:r w:rsidR="00A83281" w:rsidRPr="00282D55">
        <w:rPr>
          <w:color w:val="auto"/>
        </w:rPr>
        <w:t>tality and kidney function test</w:t>
      </w:r>
      <w:bookmarkEnd w:id="15"/>
    </w:p>
    <w:p w:rsidR="008654F4" w:rsidRPr="00282D55" w:rsidRDefault="00A374E6" w:rsidP="00621ED7">
      <w:pPr>
        <w:bidi w:val="0"/>
        <w:spacing w:line="360" w:lineRule="auto"/>
      </w:pPr>
      <w:r>
        <w:t>According</w:t>
      </w:r>
      <w:r w:rsidR="00621ED7">
        <w:t xml:space="preserve"> to the results</w:t>
      </w:r>
      <w:r w:rsidR="008654F4" w:rsidRPr="00282D55">
        <w:t xml:space="preserve"> serum crieatinine levels showed statistically significant </w:t>
      </w:r>
      <w:r w:rsidR="004E1A72" w:rsidRPr="00282D55">
        <w:t>increase (P</w:t>
      </w:r>
      <w:r w:rsidR="002A43BB" w:rsidRPr="009B0898">
        <w:rPr>
          <w:rFonts w:asciiTheme="majorBidi" w:hAnsiTheme="majorBidi"/>
        </w:rPr>
        <w:t>&lt;</w:t>
      </w:r>
      <w:r w:rsidR="001B1631">
        <w:t>0.0</w:t>
      </w:r>
      <w:r w:rsidR="002A43BB">
        <w:t>5</w:t>
      </w:r>
      <w:r w:rsidR="004E1A72" w:rsidRPr="00282D55">
        <w:t xml:space="preserve">) in </w:t>
      </w:r>
      <w:r w:rsidR="008654F4" w:rsidRPr="00282D55">
        <w:t xml:space="preserve">nonsurvivors compared to the survivors in all three weeks. </w:t>
      </w:r>
    </w:p>
    <w:p w:rsidR="005E0CA3" w:rsidRPr="00282D55" w:rsidRDefault="005E0CA3" w:rsidP="00282D55">
      <w:pPr>
        <w:bidi w:val="0"/>
        <w:spacing w:line="360" w:lineRule="auto"/>
        <w:rPr>
          <w:rFonts w:asciiTheme="majorBidi" w:hAnsiTheme="majorBidi" w:cstheme="majorBidi"/>
          <w:rtl/>
        </w:rPr>
      </w:pPr>
    </w:p>
    <w:p w:rsidR="005E0CA3" w:rsidRPr="00282D55" w:rsidRDefault="005E0CA3" w:rsidP="00282D55">
      <w:pPr>
        <w:bidi w:val="0"/>
        <w:spacing w:line="360" w:lineRule="auto"/>
        <w:jc w:val="center"/>
        <w:rPr>
          <w:rFonts w:asciiTheme="majorBidi" w:hAnsiTheme="majorBidi" w:cstheme="majorBidi"/>
          <w:rtl/>
        </w:rPr>
      </w:pPr>
      <w:r w:rsidRPr="00282D55">
        <w:rPr>
          <w:rFonts w:asciiTheme="majorBidi" w:hAnsiTheme="majorBidi" w:cstheme="majorBidi"/>
          <w:noProof/>
        </w:rPr>
        <w:drawing>
          <wp:inline distT="0" distB="0" distL="0" distR="0">
            <wp:extent cx="5210175" cy="2581275"/>
            <wp:effectExtent l="19050" t="0" r="9525"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0CA3" w:rsidRPr="00282D55" w:rsidRDefault="005E0CA3" w:rsidP="00282D55">
      <w:pPr>
        <w:bidi w:val="0"/>
        <w:spacing w:line="360" w:lineRule="auto"/>
        <w:rPr>
          <w:rFonts w:asciiTheme="majorBidi" w:hAnsiTheme="majorBidi" w:cstheme="majorBidi"/>
          <w:rtl/>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Figure 1</w:t>
      </w:r>
      <w:r w:rsidR="004C0C1E">
        <w:rPr>
          <w:rFonts w:asciiTheme="majorBidi" w:hAnsiTheme="majorBidi" w:cstheme="majorBidi"/>
          <w:b/>
          <w:bCs/>
        </w:rPr>
        <w:t>4</w:t>
      </w:r>
      <w:r w:rsidR="00143A65">
        <w:rPr>
          <w:rFonts w:asciiTheme="majorBidi" w:hAnsiTheme="majorBidi" w:cstheme="majorBidi"/>
          <w:b/>
          <w:bCs/>
        </w:rPr>
        <w:t xml:space="preserve">. </w:t>
      </w:r>
      <w:r w:rsidR="00AD5C0E">
        <w:rPr>
          <w:rFonts w:asciiTheme="majorBidi" w:hAnsiTheme="majorBidi" w:cstheme="majorBidi"/>
          <w:b/>
          <w:bCs/>
        </w:rPr>
        <w:t xml:space="preserve"> mortality and serum creatinine levels</w:t>
      </w:r>
    </w:p>
    <w:p w:rsidR="005E0CA3" w:rsidRPr="00282D55" w:rsidRDefault="005E0CA3" w:rsidP="009359AF">
      <w:pPr>
        <w:bidi w:val="0"/>
        <w:spacing w:line="360" w:lineRule="auto"/>
        <w:jc w:val="center"/>
        <w:rPr>
          <w:rFonts w:asciiTheme="majorBidi" w:hAnsiTheme="majorBidi" w:cstheme="majorBidi"/>
        </w:rPr>
      </w:pPr>
    </w:p>
    <w:p w:rsidR="005E0CA3" w:rsidRPr="00282D55" w:rsidRDefault="005E0CA3" w:rsidP="00282D55">
      <w:pPr>
        <w:bidi w:val="0"/>
        <w:spacing w:line="360" w:lineRule="auto"/>
        <w:rPr>
          <w:rFonts w:asciiTheme="majorBidi" w:hAnsiTheme="majorBidi" w:cstheme="majorBidi"/>
        </w:rPr>
      </w:pPr>
    </w:p>
    <w:p w:rsidR="005E0CA3" w:rsidRPr="00282D55" w:rsidRDefault="005E0CA3" w:rsidP="00282D55">
      <w:pPr>
        <w:bidi w:val="0"/>
        <w:spacing w:line="360" w:lineRule="auto"/>
        <w:rPr>
          <w:rFonts w:asciiTheme="majorBidi" w:hAnsiTheme="majorBidi" w:cstheme="majorBidi"/>
          <w:rtl/>
        </w:rPr>
      </w:pPr>
    </w:p>
    <w:p w:rsidR="005E0CA3" w:rsidRPr="00282D55" w:rsidRDefault="005E0CA3" w:rsidP="00282D55">
      <w:pPr>
        <w:bidi w:val="0"/>
        <w:spacing w:line="360" w:lineRule="auto"/>
        <w:rPr>
          <w:rFonts w:asciiTheme="majorBidi" w:hAnsiTheme="majorBidi" w:cstheme="majorBidi"/>
          <w:rtl/>
        </w:rPr>
      </w:pPr>
    </w:p>
    <w:p w:rsidR="005E0CA3" w:rsidRPr="00282D55" w:rsidRDefault="00A127C7" w:rsidP="00282D55">
      <w:pPr>
        <w:bidi w:val="0"/>
        <w:spacing w:line="360" w:lineRule="auto"/>
        <w:rPr>
          <w:rFonts w:asciiTheme="majorBidi" w:hAnsiTheme="majorBidi" w:cstheme="majorBidi"/>
          <w:rtl/>
        </w:rPr>
      </w:pPr>
      <w:r w:rsidRPr="00282D55">
        <w:rPr>
          <w:rFonts w:asciiTheme="majorBidi" w:hAnsiTheme="majorBidi" w:cstheme="majorBidi"/>
        </w:rPr>
        <w:t xml:space="preserve">Levels of blood urea were increased in non survivors compared to the survivors in the first and third week, but decreased in the second week. There is no statistically significant relation (P </w:t>
      </w:r>
      <w:r w:rsidRPr="00282D55">
        <w:rPr>
          <w:rFonts w:asciiTheme="majorBidi" w:hAnsiTheme="majorBidi" w:cstheme="majorBidi"/>
          <w:sz w:val="26"/>
          <w:szCs w:val="26"/>
        </w:rPr>
        <w:t>&gt; 0.05</w:t>
      </w:r>
      <w:r w:rsidRPr="00282D55">
        <w:rPr>
          <w:rFonts w:asciiTheme="majorBidi" w:hAnsiTheme="majorBidi" w:cstheme="majorBidi"/>
        </w:rPr>
        <w:t xml:space="preserve">) </w:t>
      </w:r>
    </w:p>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noProof/>
        </w:rPr>
        <w:drawing>
          <wp:inline distT="0" distB="0" distL="0" distR="0">
            <wp:extent cx="5162550" cy="2971800"/>
            <wp:effectExtent l="19050" t="0" r="19050" b="0"/>
            <wp:docPr id="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E0CA3" w:rsidRPr="00282D55" w:rsidRDefault="005E0CA3" w:rsidP="00282D55">
      <w:pPr>
        <w:bidi w:val="0"/>
        <w:spacing w:line="360" w:lineRule="auto"/>
        <w:jc w:val="center"/>
        <w:rPr>
          <w:rFonts w:asciiTheme="majorBidi" w:hAnsiTheme="majorBidi" w:cstheme="majorBidi"/>
          <w:rtl/>
        </w:rPr>
      </w:pPr>
    </w:p>
    <w:p w:rsidR="005E0CA3" w:rsidRPr="00282D55" w:rsidRDefault="005E0CA3" w:rsidP="00282D55">
      <w:pPr>
        <w:tabs>
          <w:tab w:val="left" w:pos="5715"/>
        </w:tabs>
        <w:bidi w:val="0"/>
        <w:spacing w:line="360" w:lineRule="auto"/>
        <w:jc w:val="center"/>
        <w:rPr>
          <w:rFonts w:asciiTheme="majorBidi" w:hAnsiTheme="majorBidi" w:cstheme="majorBidi"/>
          <w:b/>
          <w:bCs/>
        </w:rPr>
      </w:pPr>
      <w:r w:rsidRPr="00282D55">
        <w:rPr>
          <w:rFonts w:asciiTheme="majorBidi" w:hAnsiTheme="majorBidi" w:cstheme="majorBidi"/>
          <w:b/>
          <w:bCs/>
        </w:rPr>
        <w:t>Figur</w:t>
      </w:r>
      <w:r w:rsidR="009359AF">
        <w:rPr>
          <w:rFonts w:asciiTheme="majorBidi" w:hAnsiTheme="majorBidi" w:cstheme="majorBidi"/>
          <w:b/>
          <w:bCs/>
        </w:rPr>
        <w:t xml:space="preserve">e </w:t>
      </w:r>
      <w:r w:rsidR="004C0C1E">
        <w:rPr>
          <w:rFonts w:asciiTheme="majorBidi" w:hAnsiTheme="majorBidi" w:cstheme="majorBidi"/>
          <w:b/>
          <w:bCs/>
        </w:rPr>
        <w:t>15</w:t>
      </w:r>
      <w:r w:rsidR="00143A65">
        <w:rPr>
          <w:rFonts w:asciiTheme="majorBidi" w:hAnsiTheme="majorBidi" w:cstheme="majorBidi"/>
          <w:b/>
          <w:bCs/>
        </w:rPr>
        <w:t xml:space="preserve">. </w:t>
      </w:r>
      <w:r w:rsidR="009359AF">
        <w:rPr>
          <w:rFonts w:asciiTheme="majorBidi" w:hAnsiTheme="majorBidi" w:cstheme="majorBidi"/>
          <w:b/>
          <w:bCs/>
        </w:rPr>
        <w:t xml:space="preserve"> mortality and B.uria levels</w:t>
      </w:r>
    </w:p>
    <w:p w:rsidR="005E0CA3" w:rsidRPr="00282D55" w:rsidRDefault="005E0CA3" w:rsidP="00282D55">
      <w:pPr>
        <w:bidi w:val="0"/>
        <w:spacing w:line="360" w:lineRule="auto"/>
        <w:rPr>
          <w:rFonts w:asciiTheme="majorBidi" w:hAnsiTheme="majorBidi" w:cstheme="majorBidi"/>
        </w:rPr>
      </w:pPr>
    </w:p>
    <w:p w:rsidR="005E0CA3" w:rsidRPr="00282D55" w:rsidRDefault="005E0CA3" w:rsidP="00282D55">
      <w:pPr>
        <w:bidi w:val="0"/>
        <w:spacing w:line="360" w:lineRule="auto"/>
        <w:rPr>
          <w:rFonts w:asciiTheme="majorBidi" w:hAnsiTheme="majorBidi" w:cstheme="majorBidi"/>
        </w:rPr>
      </w:pPr>
    </w:p>
    <w:p w:rsidR="005E0CA3" w:rsidRPr="00282D55" w:rsidRDefault="005E0CA3" w:rsidP="00282D55">
      <w:pPr>
        <w:bidi w:val="0"/>
        <w:spacing w:line="360" w:lineRule="auto"/>
        <w:rPr>
          <w:rFonts w:asciiTheme="majorBidi" w:hAnsiTheme="majorBidi" w:cstheme="majorBidi"/>
          <w:rtl/>
        </w:rPr>
      </w:pPr>
    </w:p>
    <w:p w:rsidR="005E0CA3" w:rsidRPr="00282D55" w:rsidRDefault="005E0CA3" w:rsidP="00143A65">
      <w:pPr>
        <w:pStyle w:val="Heading2"/>
        <w:bidi w:val="0"/>
        <w:spacing w:line="360" w:lineRule="auto"/>
        <w:ind w:firstLine="720"/>
        <w:rPr>
          <w:color w:val="auto"/>
          <w:rtl/>
        </w:rPr>
      </w:pPr>
      <w:bookmarkStart w:id="16" w:name="_Toc36963366"/>
      <w:r w:rsidRPr="00282D55">
        <w:rPr>
          <w:color w:val="auto"/>
        </w:rPr>
        <w:lastRenderedPageBreak/>
        <w:t>Mortality rate according to total serum protein and albumin</w:t>
      </w:r>
      <w:bookmarkEnd w:id="16"/>
    </w:p>
    <w:p w:rsidR="005E0CA3" w:rsidRPr="00282D55" w:rsidRDefault="00621ED7" w:rsidP="00282D55">
      <w:pPr>
        <w:bidi w:val="0"/>
        <w:spacing w:line="360" w:lineRule="auto"/>
        <w:rPr>
          <w:rFonts w:asciiTheme="majorBidi" w:hAnsiTheme="majorBidi" w:cstheme="majorBidi"/>
          <w:rtl/>
        </w:rPr>
      </w:pPr>
      <w:r>
        <w:rPr>
          <w:rFonts w:asciiTheme="majorBidi" w:hAnsiTheme="majorBidi" w:cstheme="majorBidi"/>
        </w:rPr>
        <w:t>The results show that levels of total serum protein were statistically decreased (p</w:t>
      </w:r>
      <w:r w:rsidR="00A374E6" w:rsidRPr="009B0898">
        <w:rPr>
          <w:rFonts w:asciiTheme="majorBidi" w:hAnsiTheme="majorBidi"/>
        </w:rPr>
        <w:t>&lt;</w:t>
      </w:r>
      <w:r>
        <w:rPr>
          <w:rFonts w:asciiTheme="majorBidi" w:hAnsiTheme="majorBidi" w:cstheme="majorBidi"/>
        </w:rPr>
        <w:t xml:space="preserve"> 0.05) in nonsurvivors compare to the survivors in all three weeks</w:t>
      </w:r>
    </w:p>
    <w:p w:rsidR="005E0CA3" w:rsidRPr="00282D55" w:rsidRDefault="005E0CA3" w:rsidP="00282D55">
      <w:pPr>
        <w:bidi w:val="0"/>
        <w:spacing w:line="360" w:lineRule="auto"/>
        <w:rPr>
          <w:rFonts w:asciiTheme="majorBidi" w:hAnsiTheme="majorBidi" w:cstheme="majorBidi"/>
          <w:rtl/>
        </w:rPr>
      </w:pPr>
    </w:p>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noProof/>
        </w:rPr>
        <w:drawing>
          <wp:inline distT="0" distB="0" distL="0" distR="0">
            <wp:extent cx="5162550" cy="2828925"/>
            <wp:effectExtent l="19050" t="0" r="19050" b="0"/>
            <wp:docPr id="3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E0CA3" w:rsidRPr="00282D55" w:rsidRDefault="005E0CA3" w:rsidP="00282D55">
      <w:pPr>
        <w:bidi w:val="0"/>
        <w:spacing w:line="360" w:lineRule="auto"/>
        <w:jc w:val="center"/>
        <w:rPr>
          <w:rFonts w:asciiTheme="majorBidi" w:hAnsiTheme="majorBidi" w:cstheme="majorBidi"/>
          <w:rtl/>
        </w:rPr>
      </w:pPr>
    </w:p>
    <w:p w:rsidR="005E0CA3" w:rsidRPr="00282D55" w:rsidRDefault="005E0CA3" w:rsidP="00282D55">
      <w:pPr>
        <w:tabs>
          <w:tab w:val="left" w:pos="5715"/>
        </w:tabs>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16.</w:t>
      </w:r>
      <w:r w:rsidRPr="00282D55">
        <w:rPr>
          <w:rFonts w:asciiTheme="majorBidi" w:hAnsiTheme="majorBidi" w:cstheme="majorBidi"/>
          <w:b/>
          <w:bCs/>
        </w:rPr>
        <w:t xml:space="preserve"> mortality and total serum</w:t>
      </w:r>
      <w:r w:rsidR="009359AF">
        <w:rPr>
          <w:rFonts w:asciiTheme="majorBidi" w:hAnsiTheme="majorBidi" w:cstheme="majorBidi"/>
          <w:b/>
          <w:bCs/>
        </w:rPr>
        <w:t xml:space="preserve"> protein levels</w:t>
      </w:r>
    </w:p>
    <w:p w:rsidR="005E0CA3" w:rsidRPr="00282D55" w:rsidRDefault="00BC27F3" w:rsidP="002F470A">
      <w:pPr>
        <w:bidi w:val="0"/>
        <w:spacing w:line="360" w:lineRule="auto"/>
        <w:rPr>
          <w:rFonts w:asciiTheme="majorBidi" w:hAnsiTheme="majorBidi" w:cstheme="majorBidi"/>
          <w:rtl/>
        </w:rPr>
      </w:pPr>
      <w:r>
        <w:rPr>
          <w:rFonts w:asciiTheme="majorBidi" w:hAnsiTheme="majorBidi" w:cstheme="majorBidi"/>
        </w:rPr>
        <w:t>The levels of serum albumin showed decrease in non survivors compared to the survivors only in the first week, in second and third week there was not a significant change in their level, there is no statistically significant relation (p</w:t>
      </w:r>
      <w:r w:rsidR="002F470A" w:rsidRPr="00282D55">
        <w:rPr>
          <w:rFonts w:asciiTheme="majorBidi" w:hAnsiTheme="majorBidi" w:cstheme="majorBidi"/>
          <w:sz w:val="26"/>
          <w:szCs w:val="26"/>
        </w:rPr>
        <w:t>&gt;</w:t>
      </w:r>
      <w:r>
        <w:rPr>
          <w:rFonts w:asciiTheme="majorBidi" w:hAnsiTheme="majorBidi" w:cstheme="majorBidi"/>
        </w:rPr>
        <w:t>0.05)</w:t>
      </w:r>
    </w:p>
    <w:p w:rsidR="005E0CA3" w:rsidRPr="00282D55" w:rsidRDefault="005E0CA3" w:rsidP="00282D55">
      <w:pPr>
        <w:bidi w:val="0"/>
        <w:spacing w:line="360" w:lineRule="auto"/>
        <w:jc w:val="center"/>
        <w:rPr>
          <w:rFonts w:asciiTheme="majorBidi" w:hAnsiTheme="majorBidi" w:cstheme="majorBidi"/>
          <w:rtl/>
        </w:rPr>
      </w:pPr>
      <w:r w:rsidRPr="00282D55">
        <w:rPr>
          <w:rFonts w:asciiTheme="majorBidi" w:hAnsiTheme="majorBidi" w:cstheme="majorBidi"/>
          <w:noProof/>
        </w:rPr>
        <w:drawing>
          <wp:inline distT="0" distB="0" distL="0" distR="0">
            <wp:extent cx="5235648" cy="3221666"/>
            <wp:effectExtent l="19050" t="0" r="22152" b="0"/>
            <wp:docPr id="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E0CA3" w:rsidRPr="002F470A" w:rsidRDefault="005E0CA3" w:rsidP="002F470A">
      <w:pPr>
        <w:tabs>
          <w:tab w:val="left" w:pos="5715"/>
        </w:tabs>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17</w:t>
      </w:r>
      <w:r w:rsidR="00143A65">
        <w:rPr>
          <w:rFonts w:asciiTheme="majorBidi" w:hAnsiTheme="majorBidi" w:cstheme="majorBidi"/>
          <w:b/>
          <w:bCs/>
        </w:rPr>
        <w:t>.</w:t>
      </w:r>
      <w:r w:rsidRPr="00282D55">
        <w:rPr>
          <w:rFonts w:asciiTheme="majorBidi" w:hAnsiTheme="majorBidi" w:cstheme="majorBidi"/>
          <w:b/>
          <w:bCs/>
        </w:rPr>
        <w:t xml:space="preserve"> mo</w:t>
      </w:r>
      <w:r w:rsidR="009359AF">
        <w:rPr>
          <w:rFonts w:asciiTheme="majorBidi" w:hAnsiTheme="majorBidi" w:cstheme="majorBidi"/>
          <w:b/>
          <w:bCs/>
        </w:rPr>
        <w:t xml:space="preserve">rtality and serum albumin levels </w:t>
      </w:r>
    </w:p>
    <w:p w:rsidR="005E0CA3" w:rsidRPr="00282D55" w:rsidRDefault="005E0CA3" w:rsidP="00282D55">
      <w:pPr>
        <w:bidi w:val="0"/>
        <w:spacing w:line="360" w:lineRule="auto"/>
        <w:rPr>
          <w:rFonts w:asciiTheme="majorBidi" w:hAnsiTheme="majorBidi" w:cstheme="majorBidi"/>
          <w:rtl/>
        </w:rPr>
      </w:pPr>
    </w:p>
    <w:p w:rsidR="005E0CA3" w:rsidRDefault="005E0CA3" w:rsidP="00143A65">
      <w:pPr>
        <w:pStyle w:val="Heading2"/>
        <w:bidi w:val="0"/>
        <w:spacing w:line="360" w:lineRule="auto"/>
        <w:ind w:firstLine="720"/>
        <w:rPr>
          <w:color w:val="auto"/>
        </w:rPr>
      </w:pPr>
      <w:bookmarkStart w:id="17" w:name="_Toc36963367"/>
      <w:r w:rsidRPr="00282D55">
        <w:rPr>
          <w:color w:val="auto"/>
        </w:rPr>
        <w:lastRenderedPageBreak/>
        <w:t>Mortality and total WBC change</w:t>
      </w:r>
      <w:bookmarkEnd w:id="17"/>
    </w:p>
    <w:p w:rsidR="0087236F" w:rsidRPr="0087236F" w:rsidRDefault="0087236F" w:rsidP="0087236F">
      <w:pPr>
        <w:bidi w:val="0"/>
      </w:pPr>
      <w:r>
        <w:t xml:space="preserve">The levels of WBC count show a decreased level in the non survivors compared to the survivors in all three weeks, although there is no statistically significant relation according to the p-value (p </w:t>
      </w:r>
      <w:r w:rsidRPr="00282D55">
        <w:rPr>
          <w:rFonts w:asciiTheme="majorBidi" w:hAnsiTheme="majorBidi" w:cstheme="majorBidi"/>
          <w:sz w:val="26"/>
          <w:szCs w:val="26"/>
        </w:rPr>
        <w:t>&gt;</w:t>
      </w:r>
      <w:r>
        <w:t xml:space="preserve"> 0.05)</w:t>
      </w:r>
    </w:p>
    <w:p w:rsidR="002F470A" w:rsidRPr="00282D55" w:rsidRDefault="002F470A" w:rsidP="002F470A">
      <w:pPr>
        <w:tabs>
          <w:tab w:val="left" w:pos="5190"/>
        </w:tabs>
        <w:bidi w:val="0"/>
        <w:spacing w:line="360" w:lineRule="auto"/>
        <w:rPr>
          <w:rFonts w:asciiTheme="majorHAnsi" w:hAnsiTheme="majorHAnsi" w:cstheme="majorBidi"/>
          <w:b/>
          <w:bCs/>
          <w:sz w:val="28"/>
          <w:szCs w:val="28"/>
        </w:rPr>
      </w:pPr>
    </w:p>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noProof/>
        </w:rPr>
        <w:drawing>
          <wp:inline distT="0" distB="0" distL="0" distR="0">
            <wp:extent cx="5486400" cy="3200400"/>
            <wp:effectExtent l="0" t="0" r="19050" b="19050"/>
            <wp:docPr id="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E0CA3"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18</w:t>
      </w:r>
      <w:r w:rsidR="00143A65">
        <w:rPr>
          <w:rFonts w:asciiTheme="majorBidi" w:hAnsiTheme="majorBidi" w:cstheme="majorBidi"/>
          <w:b/>
          <w:bCs/>
        </w:rPr>
        <w:t xml:space="preserve">. </w:t>
      </w:r>
      <w:r w:rsidR="002A14CE" w:rsidRPr="00282D55">
        <w:rPr>
          <w:rFonts w:asciiTheme="majorBidi" w:hAnsiTheme="majorBidi" w:cstheme="majorBidi"/>
          <w:b/>
          <w:bCs/>
        </w:rPr>
        <w:t xml:space="preserve"> mortality and total WBC change</w:t>
      </w:r>
    </w:p>
    <w:p w:rsidR="002A43BB" w:rsidRPr="00282D55" w:rsidRDefault="002A43BB" w:rsidP="002A43BB">
      <w:pPr>
        <w:bidi w:val="0"/>
        <w:spacing w:line="360" w:lineRule="auto"/>
        <w:jc w:val="center"/>
        <w:rPr>
          <w:rFonts w:asciiTheme="majorBidi" w:hAnsiTheme="majorBidi" w:cstheme="majorBidi"/>
          <w:b/>
          <w:bCs/>
        </w:rPr>
      </w:pPr>
    </w:p>
    <w:p w:rsidR="005E0CA3" w:rsidRPr="002A43BB" w:rsidRDefault="005E0CA3" w:rsidP="00143A65">
      <w:pPr>
        <w:pStyle w:val="Heading2"/>
        <w:bidi w:val="0"/>
        <w:spacing w:line="360" w:lineRule="auto"/>
        <w:ind w:firstLine="720"/>
        <w:rPr>
          <w:color w:val="auto"/>
        </w:rPr>
      </w:pPr>
      <w:bookmarkStart w:id="18" w:name="_Toc36963368"/>
      <w:r w:rsidRPr="00282D55">
        <w:rPr>
          <w:color w:val="auto"/>
        </w:rPr>
        <w:t>Mortality and abnormalities in total WBC</w:t>
      </w:r>
      <w:bookmarkEnd w:id="18"/>
    </w:p>
    <w:p w:rsidR="00DC4A74" w:rsidRPr="00282D55" w:rsidRDefault="00DC4A74" w:rsidP="00282D55">
      <w:pPr>
        <w:bidi w:val="0"/>
        <w:spacing w:line="360" w:lineRule="auto"/>
        <w:rPr>
          <w:rFonts w:asciiTheme="majorBidi" w:hAnsiTheme="majorBidi" w:cstheme="majorBidi"/>
        </w:rPr>
      </w:pPr>
      <w:r w:rsidRPr="00282D55">
        <w:rPr>
          <w:rFonts w:asciiTheme="majorBidi" w:hAnsiTheme="majorBidi" w:cstheme="majorBidi"/>
        </w:rPr>
        <w:t xml:space="preserve">The results show that most of the non survivors had leukocytosis in the first and third week, but in the second week they mostly had a normal WBC count.  </w:t>
      </w:r>
    </w:p>
    <w:p w:rsidR="005E0CA3" w:rsidRPr="00282D55" w:rsidRDefault="005E0CA3" w:rsidP="00282D55">
      <w:pPr>
        <w:bidi w:val="0"/>
        <w:spacing w:line="360" w:lineRule="auto"/>
        <w:rPr>
          <w:rFonts w:asciiTheme="majorBidi" w:hAnsiTheme="majorBidi" w:cstheme="majorBidi"/>
        </w:rPr>
      </w:pPr>
    </w:p>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noProof/>
        </w:rPr>
        <w:drawing>
          <wp:inline distT="0" distB="0" distL="0" distR="0">
            <wp:extent cx="5115368" cy="2977117"/>
            <wp:effectExtent l="19050" t="0" r="28132" b="0"/>
            <wp:docPr id="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76F55"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 xml:space="preserve">Figure </w:t>
      </w:r>
      <w:r w:rsidR="004C0C1E">
        <w:rPr>
          <w:rFonts w:asciiTheme="majorBidi" w:hAnsiTheme="majorBidi" w:cstheme="majorBidi"/>
          <w:b/>
          <w:bCs/>
        </w:rPr>
        <w:t>19</w:t>
      </w:r>
      <w:r w:rsidR="00143A65">
        <w:rPr>
          <w:rFonts w:asciiTheme="majorBidi" w:hAnsiTheme="majorBidi" w:cstheme="majorBidi"/>
          <w:b/>
          <w:bCs/>
        </w:rPr>
        <w:t>.</w:t>
      </w:r>
      <w:r w:rsidRPr="00282D55">
        <w:rPr>
          <w:rFonts w:asciiTheme="majorBidi" w:hAnsiTheme="majorBidi" w:cstheme="majorBidi"/>
          <w:b/>
          <w:bCs/>
        </w:rPr>
        <w:t xml:space="preserve"> Mortality and abnormalities in total WBC</w:t>
      </w:r>
    </w:p>
    <w:p w:rsidR="00A76F55" w:rsidRPr="00282D55" w:rsidRDefault="00A76F55" w:rsidP="00282D55">
      <w:pPr>
        <w:bidi w:val="0"/>
        <w:spacing w:line="360" w:lineRule="auto"/>
        <w:jc w:val="center"/>
        <w:rPr>
          <w:rFonts w:asciiTheme="majorBidi" w:hAnsiTheme="majorBidi" w:cstheme="majorBidi"/>
          <w:b/>
          <w:bCs/>
        </w:rPr>
      </w:pPr>
    </w:p>
    <w:p w:rsidR="00A76F55" w:rsidRPr="00282D55" w:rsidRDefault="00A76F55" w:rsidP="00282D55">
      <w:pPr>
        <w:bidi w:val="0"/>
        <w:spacing w:line="360" w:lineRule="auto"/>
        <w:rPr>
          <w:rFonts w:asciiTheme="majorBidi" w:hAnsiTheme="majorBidi" w:cstheme="majorBidi"/>
          <w:b/>
          <w:bCs/>
        </w:rPr>
      </w:pPr>
    </w:p>
    <w:p w:rsidR="005E0CA3" w:rsidRPr="00282D55" w:rsidRDefault="005E0CA3" w:rsidP="00143A65">
      <w:pPr>
        <w:pStyle w:val="Heading1"/>
        <w:bidi w:val="0"/>
        <w:spacing w:line="360" w:lineRule="auto"/>
        <w:ind w:firstLine="720"/>
        <w:rPr>
          <w:color w:val="auto"/>
        </w:rPr>
      </w:pPr>
      <w:bookmarkStart w:id="19" w:name="_Toc36963369"/>
      <w:r w:rsidRPr="00282D55">
        <w:rPr>
          <w:color w:val="auto"/>
        </w:rPr>
        <w:t>Common pathogen and bacterial infection in burn patients</w:t>
      </w:r>
      <w:bookmarkEnd w:id="19"/>
    </w:p>
    <w:p w:rsidR="005E0CA3" w:rsidRPr="00282D55" w:rsidRDefault="006C7C47" w:rsidP="00282D55">
      <w:pPr>
        <w:tabs>
          <w:tab w:val="left" w:pos="2580"/>
        </w:tabs>
        <w:bidi w:val="0"/>
        <w:spacing w:line="360" w:lineRule="auto"/>
        <w:rPr>
          <w:rFonts w:asciiTheme="majorBidi" w:hAnsiTheme="majorBidi" w:cstheme="majorBidi"/>
        </w:rPr>
      </w:pPr>
      <w:r>
        <w:rPr>
          <w:rFonts w:asciiTheme="majorBidi" w:hAnsiTheme="majorBidi" w:cstheme="majorBidi"/>
        </w:rPr>
        <w:t>Out o</w:t>
      </w:r>
      <w:r w:rsidR="005E0CA3" w:rsidRPr="00282D55">
        <w:rPr>
          <w:rFonts w:asciiTheme="majorBidi" w:hAnsiTheme="majorBidi" w:cstheme="majorBidi"/>
        </w:rPr>
        <w:t>f 100 burn patient</w:t>
      </w:r>
      <w:r>
        <w:rPr>
          <w:rFonts w:asciiTheme="majorBidi" w:hAnsiTheme="majorBidi" w:cstheme="majorBidi"/>
        </w:rPr>
        <w:t>s,</w:t>
      </w:r>
      <w:r w:rsidR="005E0CA3" w:rsidRPr="00282D55">
        <w:rPr>
          <w:rFonts w:asciiTheme="majorBidi" w:hAnsiTheme="majorBidi" w:cstheme="majorBidi"/>
        </w:rPr>
        <w:t xml:space="preserve"> 90 of them had infection, a total of 14 different types of bacteria were isolated, majority of the results were Gram-negative bacteria (66.8%), and (33.2%) were Gram-posative. Pseudomonas aeruginosa (32.5%), and Klebsiella pneumonia (11%) and Acinetobacter baumannii (9.5%) were the most common gram negative organisms, and staphylococcus aureus (33.2%) was the only gram positive organism recovered.</w:t>
      </w:r>
    </w:p>
    <w:p w:rsidR="005E0CA3" w:rsidRPr="00282D55" w:rsidRDefault="005E0CA3" w:rsidP="00282D55">
      <w:pPr>
        <w:tabs>
          <w:tab w:val="left" w:pos="2580"/>
        </w:tabs>
        <w:bidi w:val="0"/>
        <w:spacing w:line="360" w:lineRule="auto"/>
        <w:rPr>
          <w:rFonts w:asciiTheme="majorBidi" w:hAnsiTheme="majorBidi" w:cstheme="majorBidi"/>
        </w:rPr>
      </w:pPr>
    </w:p>
    <w:tbl>
      <w:tblPr>
        <w:tblStyle w:val="TableGrid"/>
        <w:tblW w:w="9170" w:type="dxa"/>
        <w:tblInd w:w="440" w:type="dxa"/>
        <w:tblLook w:val="04A0"/>
      </w:tblPr>
      <w:tblGrid>
        <w:gridCol w:w="3056"/>
        <w:gridCol w:w="3057"/>
        <w:gridCol w:w="3057"/>
      </w:tblGrid>
      <w:tr w:rsidR="005E0CA3" w:rsidRPr="00282D55" w:rsidTr="00A83281">
        <w:trPr>
          <w:trHeight w:val="245"/>
        </w:trPr>
        <w:tc>
          <w:tcPr>
            <w:tcW w:w="3056"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Type of bacteria</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Frequency</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Percentage</w:t>
            </w:r>
          </w:p>
        </w:tc>
      </w:tr>
      <w:tr w:rsidR="005E0CA3" w:rsidRPr="00282D55" w:rsidTr="00A83281">
        <w:trPr>
          <w:trHeight w:val="232"/>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Acinetobacter baumannii</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16</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9.5</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SS. aureus</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57</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33.2</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Enterobacter cloacae</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9</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5.2</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Escherichia Coli</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6</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3.4</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Klebsiella pneumoniae</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19</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11</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Pseudomonas aeruginosa</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56</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32.5</w:t>
            </w:r>
          </w:p>
        </w:tc>
      </w:tr>
      <w:tr w:rsidR="005E0CA3" w:rsidRPr="00282D55" w:rsidTr="00A83281">
        <w:trPr>
          <w:trHeight w:val="232"/>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Raultella (Kleb) terrigene</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0.5</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Burkholderia (Pseudo)</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0.5</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Cepacia (CDCEO-1 gene I)</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0.5</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Enterobacter aeruginosa</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0.5</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Serratitaliquefaciens</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0.5</w:t>
            </w:r>
          </w:p>
        </w:tc>
      </w:tr>
      <w:tr w:rsidR="005E0CA3" w:rsidRPr="00282D55" w:rsidTr="00A83281">
        <w:trPr>
          <w:trHeight w:val="232"/>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Pseudomonas luteola</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0.5</w:t>
            </w:r>
          </w:p>
        </w:tc>
      </w:tr>
      <w:tr w:rsidR="005E0CA3" w:rsidRPr="00282D55" w:rsidTr="00A83281">
        <w:trPr>
          <w:trHeight w:val="245"/>
        </w:trPr>
        <w:tc>
          <w:tcPr>
            <w:tcW w:w="3056"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Klebsiella oxytoca</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0.5</w:t>
            </w:r>
          </w:p>
        </w:tc>
      </w:tr>
      <w:tr w:rsidR="005E0CA3" w:rsidRPr="00282D55" w:rsidTr="00A83281">
        <w:trPr>
          <w:trHeight w:val="245"/>
        </w:trPr>
        <w:tc>
          <w:tcPr>
            <w:tcW w:w="3056"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Enterobacter skazakii</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1</w:t>
            </w:r>
          </w:p>
        </w:tc>
        <w:tc>
          <w:tcPr>
            <w:tcW w:w="3057" w:type="dxa"/>
          </w:tcPr>
          <w:p w:rsidR="005E0CA3" w:rsidRPr="00282D55" w:rsidRDefault="005E0CA3" w:rsidP="00282D55">
            <w:pPr>
              <w:bidi w:val="0"/>
              <w:spacing w:line="360" w:lineRule="auto"/>
              <w:jc w:val="center"/>
              <w:rPr>
                <w:rFonts w:asciiTheme="majorBidi" w:hAnsiTheme="majorBidi" w:cstheme="majorBidi"/>
              </w:rPr>
            </w:pPr>
            <w:r w:rsidRPr="00282D55">
              <w:rPr>
                <w:rFonts w:asciiTheme="majorBidi" w:hAnsiTheme="majorBidi" w:cstheme="majorBidi"/>
              </w:rPr>
              <w:t>0.5</w:t>
            </w:r>
          </w:p>
        </w:tc>
      </w:tr>
    </w:tbl>
    <w:p w:rsidR="005E0CA3" w:rsidRPr="00282D55" w:rsidRDefault="005E0CA3" w:rsidP="00282D55">
      <w:pPr>
        <w:bidi w:val="0"/>
        <w:spacing w:line="360" w:lineRule="auto"/>
        <w:rPr>
          <w:rFonts w:asciiTheme="majorBidi" w:hAnsiTheme="majorBidi" w:cstheme="majorBidi"/>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Table</w:t>
      </w:r>
      <w:r w:rsidR="00143A65" w:rsidRPr="00282D55">
        <w:rPr>
          <w:rFonts w:asciiTheme="majorBidi" w:hAnsiTheme="majorBidi" w:cstheme="majorBidi"/>
          <w:b/>
          <w:bCs/>
        </w:rPr>
        <w:t>4.</w:t>
      </w:r>
      <w:r w:rsidRPr="00282D55">
        <w:rPr>
          <w:rFonts w:asciiTheme="majorBidi" w:hAnsiTheme="majorBidi" w:cstheme="majorBidi"/>
          <w:b/>
          <w:bCs/>
        </w:rPr>
        <w:t>Types of bacteria</w:t>
      </w: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143A65">
      <w:pPr>
        <w:pStyle w:val="Heading1"/>
        <w:bidi w:val="0"/>
        <w:spacing w:line="360" w:lineRule="auto"/>
        <w:ind w:firstLine="720"/>
        <w:rPr>
          <w:color w:val="auto"/>
        </w:rPr>
      </w:pPr>
      <w:bookmarkStart w:id="20" w:name="_Toc36963370"/>
      <w:r w:rsidRPr="00282D55">
        <w:rPr>
          <w:color w:val="auto"/>
        </w:rPr>
        <w:t>Types of the bacteria that cause fever in burn patients</w:t>
      </w:r>
      <w:bookmarkEnd w:id="20"/>
    </w:p>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The result show that 66.6% of patients had fever during the first week, 55.5% of them had fever in second week.</w:t>
      </w:r>
    </w:p>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20% of the patients who had fever infected with SS.aureus (MRSA), and 17% were infecterd with Pseudomonas aeruginosa in first week, but in the second week 27% infected with SS.aureus and 24.3% of them were infected with Pseudomonas aeruginosa.</w:t>
      </w:r>
    </w:p>
    <w:tbl>
      <w:tblPr>
        <w:tblStyle w:val="TableGrid"/>
        <w:tblW w:w="0" w:type="auto"/>
        <w:tblLook w:val="04A0"/>
      </w:tblPr>
      <w:tblGrid>
        <w:gridCol w:w="3192"/>
        <w:gridCol w:w="3192"/>
        <w:gridCol w:w="3192"/>
      </w:tblGrid>
      <w:tr w:rsidR="005E0CA3" w:rsidRPr="00282D55" w:rsidTr="00A83281">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lastRenderedPageBreak/>
              <w:t>week</w:t>
            </w:r>
          </w:p>
        </w:tc>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First week</w:t>
            </w:r>
          </w:p>
        </w:tc>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 xml:space="preserve">Second week </w:t>
            </w:r>
          </w:p>
        </w:tc>
      </w:tr>
      <w:tr w:rsidR="005E0CA3" w:rsidRPr="00282D55" w:rsidTr="00A83281">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 xml:space="preserve">Fever </w:t>
            </w:r>
          </w:p>
        </w:tc>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66.6%</w:t>
            </w:r>
          </w:p>
        </w:tc>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55.5%</w:t>
            </w:r>
          </w:p>
        </w:tc>
      </w:tr>
      <w:tr w:rsidR="005E0CA3" w:rsidRPr="00282D55" w:rsidTr="00A83281">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Not fever</w:t>
            </w:r>
          </w:p>
        </w:tc>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12.2%</w:t>
            </w:r>
          </w:p>
        </w:tc>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22.2%</w:t>
            </w:r>
          </w:p>
        </w:tc>
      </w:tr>
      <w:tr w:rsidR="005E0CA3" w:rsidRPr="00282D55" w:rsidTr="00A83281">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 xml:space="preserve">Data missing </w:t>
            </w:r>
          </w:p>
        </w:tc>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21.1%</w:t>
            </w:r>
          </w:p>
        </w:tc>
        <w:tc>
          <w:tcPr>
            <w:tcW w:w="3192" w:type="dxa"/>
          </w:tcPr>
          <w:p w:rsidR="005E0CA3" w:rsidRPr="00282D55" w:rsidRDefault="005E0CA3" w:rsidP="00282D55">
            <w:pPr>
              <w:tabs>
                <w:tab w:val="left" w:pos="2580"/>
              </w:tabs>
              <w:bidi w:val="0"/>
              <w:spacing w:line="360" w:lineRule="auto"/>
              <w:rPr>
                <w:rFonts w:asciiTheme="majorBidi" w:hAnsiTheme="majorBidi" w:cstheme="majorBidi"/>
              </w:rPr>
            </w:pPr>
            <w:r w:rsidRPr="00282D55">
              <w:rPr>
                <w:rFonts w:asciiTheme="majorBidi" w:hAnsiTheme="majorBidi" w:cstheme="majorBidi"/>
              </w:rPr>
              <w:t xml:space="preserve">22.2% </w:t>
            </w:r>
          </w:p>
        </w:tc>
      </w:tr>
    </w:tbl>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282D55">
      <w:pPr>
        <w:tabs>
          <w:tab w:val="left" w:pos="2580"/>
        </w:tabs>
        <w:bidi w:val="0"/>
        <w:spacing w:line="360" w:lineRule="auto"/>
        <w:jc w:val="center"/>
        <w:rPr>
          <w:rFonts w:asciiTheme="majorBidi" w:hAnsiTheme="majorBidi" w:cstheme="majorBidi"/>
          <w:b/>
          <w:bCs/>
        </w:rPr>
      </w:pPr>
      <w:r w:rsidRPr="00282D55">
        <w:rPr>
          <w:rFonts w:asciiTheme="majorBidi" w:hAnsiTheme="majorBidi" w:cstheme="majorBidi"/>
          <w:b/>
          <w:bCs/>
        </w:rPr>
        <w:t>Table 5</w:t>
      </w:r>
      <w:r w:rsidR="00143A65">
        <w:rPr>
          <w:rFonts w:asciiTheme="majorBidi" w:hAnsiTheme="majorBidi" w:cstheme="majorBidi"/>
          <w:b/>
          <w:bCs/>
        </w:rPr>
        <w:t>.</w:t>
      </w:r>
      <w:r w:rsidRPr="00282D55">
        <w:rPr>
          <w:rFonts w:asciiTheme="majorBidi" w:hAnsiTheme="majorBidi" w:cstheme="majorBidi"/>
          <w:b/>
          <w:bCs/>
        </w:rPr>
        <w:t xml:space="preserve"> Fever of the infected patients</w:t>
      </w:r>
    </w:p>
    <w:p w:rsidR="005E0CA3" w:rsidRPr="00282D55" w:rsidRDefault="005E0CA3" w:rsidP="00282D55">
      <w:pPr>
        <w:tabs>
          <w:tab w:val="left" w:pos="2580"/>
        </w:tabs>
        <w:bidi w:val="0"/>
        <w:spacing w:line="360" w:lineRule="auto"/>
        <w:rPr>
          <w:rFonts w:asciiTheme="majorBidi" w:hAnsiTheme="majorBidi" w:cstheme="majorBidi"/>
          <w:b/>
          <w:bCs/>
        </w:rPr>
      </w:pPr>
    </w:p>
    <w:tbl>
      <w:tblPr>
        <w:tblStyle w:val="TableGrid"/>
        <w:tblW w:w="8519" w:type="dxa"/>
        <w:tblInd w:w="1710" w:type="dxa"/>
        <w:tblLook w:val="0000"/>
      </w:tblPr>
      <w:tblGrid>
        <w:gridCol w:w="297"/>
        <w:gridCol w:w="3965"/>
        <w:gridCol w:w="2205"/>
        <w:gridCol w:w="2052"/>
      </w:tblGrid>
      <w:tr w:rsidR="005E0CA3" w:rsidRPr="00282D55" w:rsidTr="00A83281">
        <w:trPr>
          <w:trHeight w:val="495"/>
        </w:trPr>
        <w:tc>
          <w:tcPr>
            <w:tcW w:w="6467" w:type="dxa"/>
            <w:gridSpan w:val="3"/>
            <w:tcBorders>
              <w:top w:val="single" w:sz="4" w:space="0" w:color="auto"/>
              <w:left w:val="single" w:sz="4" w:space="0" w:color="auto"/>
              <w:bottom w:val="nil"/>
              <w:right w:val="single" w:sz="4" w:space="0" w:color="auto"/>
            </w:tcBorders>
          </w:tcPr>
          <w:p w:rsidR="005E0CA3" w:rsidRPr="00282D55" w:rsidRDefault="005E0CA3" w:rsidP="00282D55">
            <w:pPr>
              <w:autoSpaceDE w:val="0"/>
              <w:autoSpaceDN w:val="0"/>
              <w:bidi w:val="0"/>
              <w:adjustRightInd w:val="0"/>
              <w:spacing w:line="360" w:lineRule="auto"/>
              <w:rPr>
                <w:rFonts w:asciiTheme="majorBidi" w:hAnsiTheme="majorBidi" w:cstheme="majorBidi"/>
                <w:lang w:val="en-US"/>
              </w:rPr>
            </w:pPr>
          </w:p>
          <w:p w:rsidR="005E0CA3" w:rsidRPr="00282D55" w:rsidRDefault="005E0CA3" w:rsidP="00282D55">
            <w:pPr>
              <w:autoSpaceDE w:val="0"/>
              <w:autoSpaceDN w:val="0"/>
              <w:bidi w:val="0"/>
              <w:adjustRightInd w:val="0"/>
              <w:spacing w:line="360" w:lineRule="auto"/>
              <w:ind w:left="108"/>
              <w:jc w:val="center"/>
              <w:rPr>
                <w:rFonts w:asciiTheme="majorBidi" w:hAnsiTheme="majorBidi" w:cstheme="majorBidi"/>
              </w:rPr>
            </w:pPr>
            <w:r w:rsidRPr="00282D55">
              <w:rPr>
                <w:rFonts w:asciiTheme="majorBidi" w:hAnsiTheme="majorBidi" w:cstheme="majorBidi"/>
              </w:rPr>
              <w:t>First week</w:t>
            </w:r>
          </w:p>
        </w:tc>
        <w:tc>
          <w:tcPr>
            <w:tcW w:w="2052" w:type="dxa"/>
            <w:tcBorders>
              <w:top w:val="nil"/>
              <w:left w:val="single" w:sz="4" w:space="0" w:color="auto"/>
              <w:bottom w:val="nil"/>
              <w:right w:val="nil"/>
            </w:tcBorders>
          </w:tcPr>
          <w:p w:rsidR="005E0CA3" w:rsidRPr="00282D55" w:rsidRDefault="005E0CA3" w:rsidP="00282D55">
            <w:pPr>
              <w:bidi w:val="0"/>
              <w:spacing w:line="360" w:lineRule="auto"/>
              <w:jc w:val="center"/>
              <w:rPr>
                <w:rFonts w:asciiTheme="majorBidi" w:hAnsiTheme="majorBidi" w:cstheme="majorBidi"/>
              </w:rPr>
            </w:pPr>
          </w:p>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r>
      <w:tr w:rsidR="005E0CA3" w:rsidRPr="00282D55" w:rsidTr="00A83281">
        <w:trPr>
          <w:trHeight w:val="310"/>
        </w:trPr>
        <w:tc>
          <w:tcPr>
            <w:tcW w:w="4262" w:type="dxa"/>
            <w:gridSpan w:val="2"/>
            <w:tcBorders>
              <w:top w:val="single" w:sz="4" w:space="0" w:color="auto"/>
            </w:tcBorders>
          </w:tcPr>
          <w:p w:rsidR="005E0CA3" w:rsidRPr="00282D55" w:rsidRDefault="005E0CA3" w:rsidP="00282D55">
            <w:pPr>
              <w:autoSpaceDE w:val="0"/>
              <w:autoSpaceDN w:val="0"/>
              <w:bidi w:val="0"/>
              <w:adjustRightInd w:val="0"/>
              <w:spacing w:line="360" w:lineRule="auto"/>
              <w:jc w:val="center"/>
              <w:rPr>
                <w:rFonts w:asciiTheme="majorBidi" w:hAnsiTheme="majorBidi" w:cstheme="majorBidi"/>
                <w:b/>
              </w:rPr>
            </w:pPr>
            <w:r w:rsidRPr="00282D55">
              <w:rPr>
                <w:rFonts w:asciiTheme="majorBidi" w:hAnsiTheme="majorBidi" w:cstheme="majorBidi"/>
              </w:rPr>
              <w:t>Type of Bacteria</w:t>
            </w:r>
          </w:p>
        </w:tc>
        <w:tc>
          <w:tcPr>
            <w:tcW w:w="2205" w:type="dxa"/>
            <w:tcBorders>
              <w:top w:val="single" w:sz="4" w:space="0" w:color="auto"/>
            </w:tcBorders>
            <w:vAlign w:val="center"/>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r w:rsidRPr="00282D55">
              <w:rPr>
                <w:rFonts w:asciiTheme="majorBidi" w:hAnsiTheme="majorBidi" w:cstheme="majorBidi"/>
              </w:rPr>
              <w:t>fever</w:t>
            </w:r>
          </w:p>
        </w:tc>
        <w:tc>
          <w:tcPr>
            <w:tcW w:w="2052" w:type="dxa"/>
            <w:vMerge w:val="restart"/>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10"/>
        </w:trPr>
        <w:tc>
          <w:tcPr>
            <w:tcW w:w="297" w:type="dxa"/>
            <w:vMerge w:val="restart"/>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Acinetobacter baumannii (MDRO)</w:t>
            </w:r>
          </w:p>
        </w:tc>
        <w:tc>
          <w:tcPr>
            <w:tcW w:w="2205" w:type="dxa"/>
            <w:tcBorders>
              <w:top w:val="single" w:sz="4" w:space="0" w:color="auto"/>
            </w:tcBorders>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4.5%</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2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SS. aureus (MDRO)</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2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Acinobacterbaumannii</w:t>
            </w:r>
          </w:p>
        </w:tc>
        <w:tc>
          <w:tcPr>
            <w:tcW w:w="2205" w:type="dxa"/>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r w:rsidRPr="00282D55">
              <w:rPr>
                <w:rFonts w:asciiTheme="majorBidi" w:hAnsiTheme="majorBidi" w:cstheme="majorBidi"/>
              </w:rPr>
              <w:t>9%</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2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Escherichia Coli(ESBL)</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2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Klebsiella pneumoniae</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9%</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2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Klebsiella pneumoniae ( MDRO )</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2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Pseudomonas aeruginosa</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17%</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2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Pseudomonas aeruginosa (MDRO)</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13.6%</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2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SS. aureus</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13.6%</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2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SS.aureus (MRSA)</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20%</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12"/>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Burkholderia (Pseudo)</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60"/>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Cepacia (CDCEO-1 gene I)</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270"/>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Enterobacter cloacae (ESBL)</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2.3 %</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28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Enterobacter cloacae</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413"/>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Raultella (Kleb) terrigene</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280"/>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Enterobacter skazakii (MDRO)</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r w:rsidR="005E0CA3" w:rsidRPr="00282D55" w:rsidTr="00A83281">
        <w:trPr>
          <w:trHeight w:val="345"/>
        </w:trPr>
        <w:tc>
          <w:tcPr>
            <w:tcW w:w="297" w:type="dxa"/>
            <w:vMerge/>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p>
        </w:tc>
        <w:tc>
          <w:tcPr>
            <w:tcW w:w="3965" w:type="dxa"/>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Klebsiella oxytoca</w:t>
            </w:r>
          </w:p>
        </w:tc>
        <w:tc>
          <w:tcPr>
            <w:tcW w:w="220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1.1%</w:t>
            </w:r>
          </w:p>
        </w:tc>
        <w:tc>
          <w:tcPr>
            <w:tcW w:w="2052" w:type="dxa"/>
            <w:vMerge/>
            <w:tcBorders>
              <w:top w:val="nil"/>
              <w:bottom w:val="nil"/>
              <w:right w:val="nil"/>
            </w:tcBorders>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p>
        </w:tc>
      </w:tr>
    </w:tbl>
    <w:p w:rsidR="005E0CA3" w:rsidRPr="00282D55" w:rsidRDefault="005E0CA3" w:rsidP="00282D55">
      <w:pPr>
        <w:tabs>
          <w:tab w:val="left" w:pos="2580"/>
        </w:tabs>
        <w:bidi w:val="0"/>
        <w:spacing w:line="360" w:lineRule="auto"/>
        <w:jc w:val="center"/>
        <w:rPr>
          <w:rFonts w:asciiTheme="majorBidi" w:hAnsiTheme="majorBidi" w:cstheme="majorBidi"/>
          <w:b/>
          <w:bCs/>
        </w:rPr>
      </w:pPr>
    </w:p>
    <w:p w:rsidR="005E0CA3" w:rsidRPr="00282D55" w:rsidRDefault="005E0CA3" w:rsidP="00282D55">
      <w:pPr>
        <w:tabs>
          <w:tab w:val="left" w:pos="2580"/>
        </w:tabs>
        <w:bidi w:val="0"/>
        <w:spacing w:line="360" w:lineRule="auto"/>
        <w:jc w:val="center"/>
        <w:rPr>
          <w:rFonts w:asciiTheme="majorBidi" w:hAnsiTheme="majorBidi" w:cstheme="majorBidi"/>
          <w:b/>
          <w:bCs/>
        </w:rPr>
      </w:pPr>
      <w:r w:rsidRPr="00282D55">
        <w:rPr>
          <w:rFonts w:asciiTheme="majorBidi" w:hAnsiTheme="majorBidi" w:cstheme="majorBidi"/>
          <w:b/>
          <w:bCs/>
        </w:rPr>
        <w:t>Table 6</w:t>
      </w:r>
      <w:r w:rsidR="00143A65">
        <w:rPr>
          <w:rFonts w:asciiTheme="majorBidi" w:hAnsiTheme="majorBidi" w:cstheme="majorBidi"/>
          <w:b/>
          <w:bCs/>
        </w:rPr>
        <w:t>.</w:t>
      </w:r>
      <w:r w:rsidRPr="00282D55">
        <w:rPr>
          <w:rFonts w:asciiTheme="majorBidi" w:hAnsiTheme="majorBidi" w:cstheme="majorBidi"/>
          <w:b/>
          <w:bCs/>
        </w:rPr>
        <w:t xml:space="preserve"> Types of the bacteria that cause fever in first week</w:t>
      </w:r>
    </w:p>
    <w:tbl>
      <w:tblPr>
        <w:tblStyle w:val="TableGrid"/>
        <w:tblpPr w:leftFromText="180" w:rightFromText="180" w:vertAnchor="text" w:horzAnchor="page" w:tblpX="3178" w:tblpY="145"/>
        <w:tblW w:w="0" w:type="auto"/>
        <w:tblLook w:val="0000"/>
      </w:tblPr>
      <w:tblGrid>
        <w:gridCol w:w="4196"/>
        <w:gridCol w:w="2335"/>
      </w:tblGrid>
      <w:tr w:rsidR="005E0CA3" w:rsidRPr="00282D55" w:rsidTr="00A83281">
        <w:trPr>
          <w:trHeight w:val="573"/>
        </w:trPr>
        <w:tc>
          <w:tcPr>
            <w:tcW w:w="6531" w:type="dxa"/>
            <w:gridSpan w:val="2"/>
          </w:tcPr>
          <w:p w:rsidR="005E0CA3" w:rsidRPr="00282D55" w:rsidRDefault="005E0CA3" w:rsidP="00282D55">
            <w:pPr>
              <w:bidi w:val="0"/>
              <w:spacing w:line="360" w:lineRule="auto"/>
              <w:ind w:left="108"/>
              <w:jc w:val="center"/>
              <w:rPr>
                <w:rFonts w:asciiTheme="majorBidi" w:hAnsiTheme="majorBidi" w:cstheme="majorBidi"/>
              </w:rPr>
            </w:pPr>
            <w:r w:rsidRPr="00282D55">
              <w:rPr>
                <w:rFonts w:asciiTheme="majorBidi" w:hAnsiTheme="majorBidi" w:cstheme="majorBidi"/>
              </w:rPr>
              <w:t>Second week</w:t>
            </w:r>
          </w:p>
        </w:tc>
      </w:tr>
      <w:tr w:rsidR="005E0CA3" w:rsidRPr="00282D55" w:rsidTr="00A83281">
        <w:trPr>
          <w:trHeight w:val="330"/>
        </w:trPr>
        <w:tc>
          <w:tcPr>
            <w:tcW w:w="4196" w:type="dxa"/>
            <w:tcBorders>
              <w:top w:val="single" w:sz="4" w:space="0" w:color="auto"/>
              <w:left w:val="single" w:sz="4" w:space="0" w:color="auto"/>
              <w:bottom w:val="nil"/>
            </w:tcBorders>
          </w:tcPr>
          <w:p w:rsidR="005E0CA3" w:rsidRPr="00282D55" w:rsidRDefault="005E0CA3" w:rsidP="00282D55">
            <w:pPr>
              <w:autoSpaceDE w:val="0"/>
              <w:autoSpaceDN w:val="0"/>
              <w:bidi w:val="0"/>
              <w:adjustRightInd w:val="0"/>
              <w:spacing w:line="360" w:lineRule="auto"/>
              <w:jc w:val="center"/>
              <w:rPr>
                <w:rFonts w:asciiTheme="majorBidi" w:hAnsiTheme="majorBidi" w:cstheme="majorBidi"/>
                <w:b/>
              </w:rPr>
            </w:pPr>
            <w:r w:rsidRPr="00282D55">
              <w:rPr>
                <w:rFonts w:asciiTheme="majorBidi" w:hAnsiTheme="majorBidi" w:cstheme="majorBidi"/>
              </w:rPr>
              <w:t>Types of Bacteria</w:t>
            </w:r>
          </w:p>
        </w:tc>
        <w:tc>
          <w:tcPr>
            <w:tcW w:w="2335" w:type="dxa"/>
            <w:vAlign w:val="center"/>
          </w:tcPr>
          <w:p w:rsidR="005E0CA3" w:rsidRPr="00282D55" w:rsidRDefault="005E0CA3" w:rsidP="00282D55">
            <w:pPr>
              <w:autoSpaceDE w:val="0"/>
              <w:autoSpaceDN w:val="0"/>
              <w:bidi w:val="0"/>
              <w:adjustRightInd w:val="0"/>
              <w:spacing w:line="360" w:lineRule="auto"/>
              <w:jc w:val="center"/>
              <w:rPr>
                <w:rFonts w:asciiTheme="majorBidi" w:hAnsiTheme="majorBidi" w:cstheme="majorBidi"/>
              </w:rPr>
            </w:pPr>
            <w:r w:rsidRPr="00282D55">
              <w:rPr>
                <w:rFonts w:asciiTheme="majorBidi" w:hAnsiTheme="majorBidi" w:cstheme="majorBidi"/>
              </w:rPr>
              <w:t>fever</w:t>
            </w:r>
          </w:p>
        </w:tc>
      </w:tr>
      <w:tr w:rsidR="005E0CA3" w:rsidRPr="00282D55" w:rsidTr="00A83281">
        <w:trPr>
          <w:trHeight w:val="330"/>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Acinetobacter baumannii (MDRO)</w:t>
            </w:r>
          </w:p>
        </w:tc>
        <w:tc>
          <w:tcPr>
            <w:tcW w:w="233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2.7 %</w:t>
            </w:r>
          </w:p>
        </w:tc>
      </w:tr>
      <w:tr w:rsidR="005E0CA3" w:rsidRPr="00282D55" w:rsidTr="00A83281">
        <w:trPr>
          <w:trHeight w:val="345"/>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SS. aureus (MDRO)</w:t>
            </w:r>
          </w:p>
        </w:tc>
        <w:tc>
          <w:tcPr>
            <w:tcW w:w="233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2.7 %</w:t>
            </w:r>
          </w:p>
        </w:tc>
      </w:tr>
      <w:tr w:rsidR="005E0CA3" w:rsidRPr="00282D55" w:rsidTr="00A83281">
        <w:trPr>
          <w:trHeight w:val="345"/>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Acinobacterbaumannii</w:t>
            </w:r>
          </w:p>
        </w:tc>
        <w:tc>
          <w:tcPr>
            <w:tcW w:w="2335" w:type="dxa"/>
            <w:vAlign w:val="center"/>
          </w:tcPr>
          <w:p w:rsidR="005E0CA3" w:rsidRPr="00282D55" w:rsidRDefault="005E0CA3" w:rsidP="00282D55">
            <w:pPr>
              <w:autoSpaceDE w:val="0"/>
              <w:autoSpaceDN w:val="0"/>
              <w:bidi w:val="0"/>
              <w:adjustRightInd w:val="0"/>
              <w:spacing w:line="360" w:lineRule="auto"/>
              <w:ind w:right="60"/>
              <w:jc w:val="center"/>
              <w:rPr>
                <w:rFonts w:asciiTheme="majorBidi" w:hAnsiTheme="majorBidi" w:cstheme="majorBidi"/>
              </w:rPr>
            </w:pPr>
            <w:r w:rsidRPr="00282D55">
              <w:rPr>
                <w:rFonts w:asciiTheme="majorBidi" w:hAnsiTheme="majorBidi" w:cstheme="majorBidi"/>
              </w:rPr>
              <w:t>2.7 %</w:t>
            </w:r>
          </w:p>
        </w:tc>
      </w:tr>
      <w:tr w:rsidR="005E0CA3" w:rsidRPr="00282D55" w:rsidTr="00A83281">
        <w:trPr>
          <w:trHeight w:val="345"/>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Escherichia Coli (ESBL)</w:t>
            </w:r>
          </w:p>
        </w:tc>
        <w:tc>
          <w:tcPr>
            <w:tcW w:w="233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2.7 %</w:t>
            </w:r>
          </w:p>
        </w:tc>
      </w:tr>
      <w:tr w:rsidR="005E0CA3" w:rsidRPr="00282D55" w:rsidTr="00A83281">
        <w:trPr>
          <w:trHeight w:val="345"/>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Klebsiella pneumoniae</w:t>
            </w:r>
          </w:p>
        </w:tc>
        <w:tc>
          <w:tcPr>
            <w:tcW w:w="233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13.5 %</w:t>
            </w:r>
          </w:p>
        </w:tc>
      </w:tr>
      <w:tr w:rsidR="005E0CA3" w:rsidRPr="00282D55" w:rsidTr="00A83281">
        <w:trPr>
          <w:trHeight w:val="345"/>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Pseudomonas aeruginosa</w:t>
            </w:r>
          </w:p>
        </w:tc>
        <w:tc>
          <w:tcPr>
            <w:tcW w:w="233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24.3 %</w:t>
            </w:r>
          </w:p>
        </w:tc>
      </w:tr>
      <w:tr w:rsidR="005E0CA3" w:rsidRPr="00282D55" w:rsidTr="00A83281">
        <w:trPr>
          <w:trHeight w:val="345"/>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lastRenderedPageBreak/>
              <w:t>Pseudomonas aeruginosa (MDRO)</w:t>
            </w:r>
          </w:p>
        </w:tc>
        <w:tc>
          <w:tcPr>
            <w:tcW w:w="233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18.9 %</w:t>
            </w:r>
          </w:p>
        </w:tc>
      </w:tr>
      <w:tr w:rsidR="005E0CA3" w:rsidRPr="00282D55" w:rsidTr="00A83281">
        <w:trPr>
          <w:trHeight w:val="345"/>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SS. aureus</w:t>
            </w:r>
          </w:p>
        </w:tc>
        <w:tc>
          <w:tcPr>
            <w:tcW w:w="233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5.4 %</w:t>
            </w:r>
          </w:p>
        </w:tc>
      </w:tr>
      <w:tr w:rsidR="005E0CA3" w:rsidRPr="00282D55" w:rsidTr="00A83281">
        <w:trPr>
          <w:trHeight w:val="345"/>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SS.aureus (MRSA)</w:t>
            </w:r>
          </w:p>
        </w:tc>
        <w:tc>
          <w:tcPr>
            <w:tcW w:w="233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27 %</w:t>
            </w:r>
          </w:p>
        </w:tc>
      </w:tr>
      <w:tr w:rsidR="005E0CA3" w:rsidRPr="00282D55" w:rsidTr="00A83281">
        <w:trPr>
          <w:trHeight w:val="345"/>
        </w:trPr>
        <w:tc>
          <w:tcPr>
            <w:tcW w:w="4196" w:type="dxa"/>
            <w:tcBorders>
              <w:left w:val="single" w:sz="4" w:space="0" w:color="auto"/>
            </w:tcBorders>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Serratitaliquefaciens</w:t>
            </w:r>
          </w:p>
        </w:tc>
        <w:tc>
          <w:tcPr>
            <w:tcW w:w="2335" w:type="dxa"/>
            <w:vAlign w:val="center"/>
          </w:tcPr>
          <w:p w:rsidR="005E0CA3" w:rsidRPr="00282D55" w:rsidRDefault="005E0CA3" w:rsidP="00282D55">
            <w:pPr>
              <w:autoSpaceDE w:val="0"/>
              <w:autoSpaceDN w:val="0"/>
              <w:bidi w:val="0"/>
              <w:adjustRightInd w:val="0"/>
              <w:spacing w:line="360" w:lineRule="auto"/>
              <w:ind w:left="60" w:right="60"/>
              <w:jc w:val="center"/>
              <w:rPr>
                <w:rFonts w:asciiTheme="majorBidi" w:hAnsiTheme="majorBidi" w:cstheme="majorBidi"/>
              </w:rPr>
            </w:pPr>
            <w:r w:rsidRPr="00282D55">
              <w:rPr>
                <w:rFonts w:asciiTheme="majorBidi" w:hAnsiTheme="majorBidi" w:cstheme="majorBidi"/>
              </w:rPr>
              <w:t>2.7 %</w:t>
            </w:r>
          </w:p>
        </w:tc>
      </w:tr>
    </w:tbl>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282D55">
      <w:pPr>
        <w:tabs>
          <w:tab w:val="left" w:pos="2580"/>
        </w:tabs>
        <w:bidi w:val="0"/>
        <w:spacing w:line="360" w:lineRule="auto"/>
        <w:rPr>
          <w:rFonts w:asciiTheme="majorBidi" w:hAnsiTheme="majorBidi" w:cstheme="majorBidi"/>
        </w:rPr>
      </w:pPr>
    </w:p>
    <w:p w:rsidR="005E0CA3" w:rsidRPr="00282D55" w:rsidRDefault="005E0CA3" w:rsidP="00282D55">
      <w:pPr>
        <w:tabs>
          <w:tab w:val="left" w:pos="2295"/>
        </w:tabs>
        <w:bidi w:val="0"/>
        <w:spacing w:line="360" w:lineRule="auto"/>
        <w:jc w:val="center"/>
        <w:rPr>
          <w:rFonts w:asciiTheme="majorBidi" w:hAnsiTheme="majorBidi" w:cstheme="majorBidi"/>
        </w:rPr>
      </w:pPr>
    </w:p>
    <w:p w:rsidR="005E0CA3" w:rsidRPr="00282D55" w:rsidRDefault="005E0CA3" w:rsidP="00282D55">
      <w:pPr>
        <w:bidi w:val="0"/>
        <w:spacing w:line="360" w:lineRule="auto"/>
      </w:pPr>
    </w:p>
    <w:p w:rsidR="005E0CA3" w:rsidRPr="00282D55" w:rsidRDefault="005E0CA3" w:rsidP="00282D55">
      <w:pPr>
        <w:bidi w:val="0"/>
        <w:spacing w:line="360" w:lineRule="auto"/>
      </w:pPr>
    </w:p>
    <w:p w:rsidR="005E0CA3" w:rsidRPr="00282D55" w:rsidRDefault="005E0CA3" w:rsidP="00282D55">
      <w:pPr>
        <w:bidi w:val="0"/>
        <w:spacing w:line="360" w:lineRule="auto"/>
      </w:pPr>
    </w:p>
    <w:p w:rsidR="005E0CA3" w:rsidRPr="00282D55" w:rsidRDefault="005E0CA3" w:rsidP="00282D55">
      <w:pPr>
        <w:bidi w:val="0"/>
        <w:spacing w:line="360" w:lineRule="auto"/>
      </w:pPr>
    </w:p>
    <w:p w:rsidR="005E0CA3" w:rsidRPr="00282D55" w:rsidRDefault="005E0CA3" w:rsidP="00282D55">
      <w:pPr>
        <w:bidi w:val="0"/>
        <w:spacing w:line="360" w:lineRule="auto"/>
      </w:pPr>
    </w:p>
    <w:p w:rsidR="005E0CA3" w:rsidRPr="00282D55" w:rsidRDefault="005E0CA3" w:rsidP="00282D55">
      <w:pPr>
        <w:bidi w:val="0"/>
        <w:spacing w:line="360" w:lineRule="auto"/>
      </w:pPr>
    </w:p>
    <w:p w:rsidR="005E0CA3" w:rsidRPr="00282D55" w:rsidRDefault="005E0CA3" w:rsidP="00282D55">
      <w:pPr>
        <w:bidi w:val="0"/>
        <w:spacing w:line="360" w:lineRule="auto"/>
        <w:jc w:val="center"/>
        <w:rPr>
          <w:b/>
          <w:bCs/>
        </w:rPr>
      </w:pPr>
      <w:r w:rsidRPr="00282D55">
        <w:rPr>
          <w:b/>
          <w:bCs/>
        </w:rPr>
        <w:t>Table 7</w:t>
      </w:r>
      <w:r w:rsidR="00143A65">
        <w:rPr>
          <w:b/>
          <w:bCs/>
        </w:rPr>
        <w:t>.</w:t>
      </w:r>
      <w:r w:rsidRPr="00282D55">
        <w:rPr>
          <w:b/>
          <w:bCs/>
        </w:rPr>
        <w:t xml:space="preserve"> Types of bacteria that cause fever in second week</w:t>
      </w:r>
    </w:p>
    <w:p w:rsidR="005E0CA3" w:rsidRPr="00282D55" w:rsidRDefault="005E0CA3" w:rsidP="00282D55">
      <w:pPr>
        <w:pStyle w:val="Heading1"/>
        <w:bidi w:val="0"/>
        <w:spacing w:line="360" w:lineRule="auto"/>
        <w:rPr>
          <w:color w:val="auto"/>
        </w:rPr>
      </w:pPr>
      <w:bookmarkStart w:id="21" w:name="_Toc36963371"/>
      <w:r w:rsidRPr="00282D55">
        <w:rPr>
          <w:color w:val="auto"/>
        </w:rPr>
        <w:t>Abnormalities of total WBC count during</w:t>
      </w:r>
      <w:r w:rsidR="00143A65">
        <w:rPr>
          <w:color w:val="auto"/>
        </w:rPr>
        <w:t xml:space="preserve"> the first </w:t>
      </w:r>
      <w:r w:rsidR="00143A65" w:rsidRPr="00282D55">
        <w:rPr>
          <w:color w:val="auto"/>
        </w:rPr>
        <w:t>three</w:t>
      </w:r>
      <w:r w:rsidRPr="00282D55">
        <w:rPr>
          <w:color w:val="auto"/>
        </w:rPr>
        <w:t xml:space="preserve"> weeks</w:t>
      </w:r>
      <w:bookmarkEnd w:id="21"/>
      <w:r w:rsidR="00143A65">
        <w:rPr>
          <w:color w:val="auto"/>
        </w:rPr>
        <w:t xml:space="preserve"> post burn</w:t>
      </w:r>
    </w:p>
    <w:p w:rsidR="005E0CA3" w:rsidRPr="00282D55" w:rsidRDefault="005E0CA3" w:rsidP="00282D55">
      <w:pPr>
        <w:tabs>
          <w:tab w:val="left" w:pos="2295"/>
        </w:tabs>
        <w:bidi w:val="0"/>
        <w:spacing w:line="360" w:lineRule="auto"/>
        <w:rPr>
          <w:rFonts w:asciiTheme="majorBidi" w:hAnsiTheme="majorBidi" w:cstheme="majorBidi"/>
        </w:rPr>
      </w:pPr>
      <w:r w:rsidRPr="00282D55">
        <w:rPr>
          <w:rFonts w:asciiTheme="majorBidi" w:hAnsiTheme="majorBidi" w:cstheme="majorBidi"/>
        </w:rPr>
        <w:t>In the first week most of the patients had normal WBC count, but in the second week 64% of the patients had high WBC</w:t>
      </w:r>
      <w:r w:rsidR="00F733FB">
        <w:rPr>
          <w:rFonts w:asciiTheme="majorBidi" w:hAnsiTheme="majorBidi" w:cstheme="majorBidi"/>
        </w:rPr>
        <w:t xml:space="preserve"> count (leukocytosis),</w:t>
      </w:r>
      <w:r w:rsidRPr="00282D55">
        <w:rPr>
          <w:rFonts w:asciiTheme="majorBidi" w:hAnsiTheme="majorBidi" w:cstheme="majorBidi"/>
        </w:rPr>
        <w:t xml:space="preserve"> and in the third week the pat</w:t>
      </w:r>
      <w:r w:rsidR="00F733FB">
        <w:rPr>
          <w:rFonts w:asciiTheme="majorBidi" w:hAnsiTheme="majorBidi" w:cstheme="majorBidi"/>
        </w:rPr>
        <w:t>i</w:t>
      </w:r>
      <w:r w:rsidRPr="00282D55">
        <w:rPr>
          <w:rFonts w:asciiTheme="majorBidi" w:hAnsiTheme="majorBidi" w:cstheme="majorBidi"/>
        </w:rPr>
        <w:t>ents who had</w:t>
      </w:r>
      <w:r w:rsidR="00F733FB">
        <w:rPr>
          <w:rFonts w:asciiTheme="majorBidi" w:hAnsiTheme="majorBidi" w:cstheme="majorBidi"/>
        </w:rPr>
        <w:t xml:space="preserve"> high WBC count increased compa</w:t>
      </w:r>
      <w:r w:rsidRPr="00282D55">
        <w:rPr>
          <w:rFonts w:asciiTheme="majorBidi" w:hAnsiTheme="majorBidi" w:cstheme="majorBidi"/>
        </w:rPr>
        <w:t>red to the first and second week.</w:t>
      </w:r>
    </w:p>
    <w:p w:rsidR="005E0CA3" w:rsidRPr="00282D55" w:rsidRDefault="005E0CA3" w:rsidP="00282D55">
      <w:pPr>
        <w:tabs>
          <w:tab w:val="left" w:pos="2295"/>
        </w:tabs>
        <w:bidi w:val="0"/>
        <w:spacing w:line="360" w:lineRule="auto"/>
        <w:rPr>
          <w:rFonts w:asciiTheme="majorBidi" w:hAnsiTheme="majorBidi" w:cstheme="majorBidi"/>
          <w:b/>
          <w:bCs/>
        </w:rPr>
      </w:pPr>
      <w:r w:rsidRPr="00282D55">
        <w:rPr>
          <w:rFonts w:asciiTheme="majorBidi" w:hAnsiTheme="majorBidi" w:cstheme="majorBidi"/>
        </w:rPr>
        <w:t>The</w:t>
      </w:r>
      <w:r w:rsidR="002A14CE" w:rsidRPr="00282D55">
        <w:rPr>
          <w:rFonts w:asciiTheme="majorBidi" w:hAnsiTheme="majorBidi" w:cstheme="majorBidi"/>
        </w:rPr>
        <w:t xml:space="preserve"> number of the patients who had</w:t>
      </w:r>
      <w:r w:rsidRPr="00282D55">
        <w:rPr>
          <w:rFonts w:asciiTheme="majorBidi" w:hAnsiTheme="majorBidi" w:cstheme="majorBidi"/>
        </w:rPr>
        <w:t xml:space="preserve"> low WBC count (Leukopenia) was very low throughout the whole three week.</w:t>
      </w:r>
    </w:p>
    <w:p w:rsidR="005E0CA3" w:rsidRPr="00282D55" w:rsidRDefault="005E0CA3" w:rsidP="00282D55">
      <w:pPr>
        <w:tabs>
          <w:tab w:val="left" w:pos="2295"/>
        </w:tabs>
        <w:bidi w:val="0"/>
        <w:spacing w:line="360" w:lineRule="auto"/>
        <w:rPr>
          <w:rFonts w:asciiTheme="majorBidi" w:hAnsiTheme="majorBidi" w:cstheme="majorBidi"/>
        </w:rPr>
      </w:pPr>
    </w:p>
    <w:p w:rsidR="005E0CA3" w:rsidRPr="00282D55" w:rsidRDefault="005E0CA3" w:rsidP="00282D55">
      <w:pPr>
        <w:tabs>
          <w:tab w:val="left" w:pos="2295"/>
        </w:tabs>
        <w:bidi w:val="0"/>
        <w:spacing w:line="360" w:lineRule="auto"/>
        <w:jc w:val="center"/>
        <w:rPr>
          <w:rFonts w:asciiTheme="majorBidi" w:hAnsiTheme="majorBidi" w:cstheme="majorBidi"/>
          <w:b/>
          <w:bCs/>
          <w:sz w:val="28"/>
          <w:szCs w:val="28"/>
        </w:rPr>
      </w:pPr>
      <w:r w:rsidRPr="00282D55">
        <w:rPr>
          <w:rFonts w:asciiTheme="majorBidi" w:hAnsiTheme="majorBidi" w:cstheme="majorBidi"/>
          <w:b/>
          <w:bCs/>
          <w:noProof/>
          <w:sz w:val="28"/>
          <w:szCs w:val="28"/>
        </w:rPr>
        <w:drawing>
          <wp:inline distT="0" distB="0" distL="0" distR="0">
            <wp:extent cx="5027512" cy="2581154"/>
            <wp:effectExtent l="19050" t="0" r="20738" b="0"/>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E0CA3" w:rsidRPr="00282D55" w:rsidRDefault="00143A65" w:rsidP="00282D55">
      <w:pPr>
        <w:tabs>
          <w:tab w:val="left" w:pos="2295"/>
        </w:tabs>
        <w:bidi w:val="0"/>
        <w:spacing w:line="360" w:lineRule="auto"/>
        <w:jc w:val="center"/>
        <w:rPr>
          <w:rFonts w:asciiTheme="majorBidi" w:hAnsiTheme="majorBidi" w:cstheme="majorBidi"/>
          <w:b/>
          <w:bCs/>
        </w:rPr>
      </w:pPr>
      <w:r>
        <w:rPr>
          <w:rFonts w:asciiTheme="majorBidi" w:hAnsiTheme="majorBidi" w:cstheme="majorBidi"/>
          <w:b/>
          <w:bCs/>
        </w:rPr>
        <w:t>Figure 2</w:t>
      </w:r>
      <w:r w:rsidR="004C0C1E">
        <w:rPr>
          <w:rFonts w:asciiTheme="majorBidi" w:hAnsiTheme="majorBidi" w:cstheme="majorBidi"/>
          <w:b/>
          <w:bCs/>
        </w:rPr>
        <w:t>0</w:t>
      </w:r>
      <w:r>
        <w:rPr>
          <w:rFonts w:asciiTheme="majorBidi" w:hAnsiTheme="majorBidi" w:cstheme="majorBidi"/>
          <w:b/>
          <w:bCs/>
        </w:rPr>
        <w:t xml:space="preserve">. </w:t>
      </w:r>
      <w:r w:rsidR="005E0CA3" w:rsidRPr="00282D55">
        <w:rPr>
          <w:rFonts w:asciiTheme="majorBidi" w:hAnsiTheme="majorBidi" w:cstheme="majorBidi"/>
          <w:b/>
          <w:bCs/>
        </w:rPr>
        <w:t>Abnormality of total WBC count</w:t>
      </w:r>
    </w:p>
    <w:p w:rsidR="005E0CA3" w:rsidRPr="00282D55" w:rsidRDefault="005E0CA3" w:rsidP="00143A65">
      <w:pPr>
        <w:pStyle w:val="Heading2"/>
        <w:bidi w:val="0"/>
        <w:spacing w:line="360" w:lineRule="auto"/>
        <w:ind w:firstLine="720"/>
        <w:rPr>
          <w:color w:val="auto"/>
        </w:rPr>
      </w:pPr>
      <w:bookmarkStart w:id="22" w:name="_Toc36963372"/>
      <w:r w:rsidRPr="00282D55">
        <w:rPr>
          <w:color w:val="auto"/>
        </w:rPr>
        <w:lastRenderedPageBreak/>
        <w:t>Leukocytosis in burn patients who had infection</w:t>
      </w:r>
      <w:bookmarkEnd w:id="22"/>
    </w:p>
    <w:p w:rsidR="005E0CA3" w:rsidRPr="00282D55" w:rsidRDefault="005E0CA3" w:rsidP="00282D55">
      <w:pPr>
        <w:tabs>
          <w:tab w:val="left" w:pos="2295"/>
        </w:tabs>
        <w:bidi w:val="0"/>
        <w:spacing w:line="360" w:lineRule="auto"/>
        <w:rPr>
          <w:rFonts w:asciiTheme="majorBidi" w:hAnsiTheme="majorBidi" w:cstheme="majorBidi"/>
        </w:rPr>
      </w:pPr>
      <w:r w:rsidRPr="00282D55">
        <w:rPr>
          <w:rFonts w:asciiTheme="majorBidi" w:hAnsiTheme="majorBidi" w:cstheme="majorBidi"/>
        </w:rPr>
        <w:t>Our study show</w:t>
      </w:r>
      <w:r w:rsidR="002A14CE" w:rsidRPr="00282D55">
        <w:rPr>
          <w:rFonts w:asciiTheme="majorBidi" w:hAnsiTheme="majorBidi" w:cstheme="majorBidi"/>
        </w:rPr>
        <w:t>ed</w:t>
      </w:r>
      <w:r w:rsidRPr="00282D55">
        <w:rPr>
          <w:rFonts w:asciiTheme="majorBidi" w:hAnsiTheme="majorBidi" w:cstheme="majorBidi"/>
        </w:rPr>
        <w:t xml:space="preserve"> that most of the patients who had leukocytosis were infected with pseudomonas aeruginosa and staphylococcus aureus.  </w:t>
      </w:r>
    </w:p>
    <w:tbl>
      <w:tblPr>
        <w:tblStyle w:val="TableGrid"/>
        <w:tblW w:w="0" w:type="auto"/>
        <w:tblLook w:val="04A0"/>
      </w:tblPr>
      <w:tblGrid>
        <w:gridCol w:w="3080"/>
        <w:gridCol w:w="3081"/>
        <w:gridCol w:w="3081"/>
      </w:tblGrid>
      <w:tr w:rsidR="005E0CA3" w:rsidRPr="00282D55" w:rsidTr="00A83281">
        <w:tc>
          <w:tcPr>
            <w:tcW w:w="9242" w:type="dxa"/>
            <w:gridSpan w:val="3"/>
          </w:tcPr>
          <w:p w:rsidR="005E0CA3" w:rsidRPr="00282D55" w:rsidRDefault="005E0CA3" w:rsidP="00282D55">
            <w:pPr>
              <w:tabs>
                <w:tab w:val="left" w:pos="2400"/>
                <w:tab w:val="center" w:pos="4513"/>
              </w:tabs>
              <w:bidi w:val="0"/>
              <w:spacing w:line="360" w:lineRule="auto"/>
              <w:jc w:val="center"/>
              <w:rPr>
                <w:rFonts w:asciiTheme="majorBidi" w:hAnsiTheme="majorBidi" w:cstheme="majorBidi"/>
                <w:lang w:val="en-US"/>
              </w:rPr>
            </w:pPr>
            <w:r w:rsidRPr="00282D55">
              <w:rPr>
                <w:rFonts w:asciiTheme="majorBidi" w:hAnsiTheme="majorBidi" w:cstheme="majorBidi"/>
                <w:lang w:val="en-US"/>
              </w:rPr>
              <w:t>Leukocytosis in first week</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Types of bacteria</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Frequency</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Percentage</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SS.aureus</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23</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32.3</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Pseudomonas aeruginosa</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29</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40</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Klebsiella pneumoniae</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7</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10</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Acinobacterbaumannii</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4</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Enterobacter cloacae</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5</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7</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Escherichia Coli</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4</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6</w:t>
            </w:r>
          </w:p>
        </w:tc>
      </w:tr>
    </w:tbl>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Table 8</w:t>
      </w:r>
      <w:r w:rsidR="00143A65">
        <w:rPr>
          <w:rFonts w:asciiTheme="majorBidi" w:hAnsiTheme="majorBidi" w:cstheme="majorBidi"/>
          <w:b/>
          <w:bCs/>
        </w:rPr>
        <w:t xml:space="preserve">. </w:t>
      </w:r>
      <w:r w:rsidRPr="00282D55">
        <w:rPr>
          <w:rFonts w:asciiTheme="majorBidi" w:hAnsiTheme="majorBidi" w:cstheme="majorBidi"/>
          <w:b/>
          <w:bCs/>
        </w:rPr>
        <w:t xml:space="preserve"> Leukocytosis in the first week</w:t>
      </w:r>
    </w:p>
    <w:p w:rsidR="005E0CA3" w:rsidRPr="00282D55" w:rsidRDefault="005E0CA3" w:rsidP="00282D55">
      <w:pPr>
        <w:bidi w:val="0"/>
        <w:spacing w:line="360" w:lineRule="auto"/>
        <w:rPr>
          <w:rFonts w:asciiTheme="majorBidi" w:hAnsiTheme="majorBidi" w:cstheme="majorBidi"/>
        </w:rPr>
      </w:pPr>
    </w:p>
    <w:tbl>
      <w:tblPr>
        <w:tblStyle w:val="TableGrid"/>
        <w:tblW w:w="0" w:type="auto"/>
        <w:tblLook w:val="04A0"/>
      </w:tblPr>
      <w:tblGrid>
        <w:gridCol w:w="3080"/>
        <w:gridCol w:w="3081"/>
        <w:gridCol w:w="3081"/>
      </w:tblGrid>
      <w:tr w:rsidR="005E0CA3" w:rsidRPr="00282D55" w:rsidTr="00A83281">
        <w:tc>
          <w:tcPr>
            <w:tcW w:w="9242" w:type="dxa"/>
            <w:gridSpan w:val="3"/>
          </w:tcPr>
          <w:p w:rsidR="005E0CA3" w:rsidRPr="00282D55" w:rsidRDefault="005E0CA3" w:rsidP="00282D55">
            <w:pPr>
              <w:tabs>
                <w:tab w:val="left" w:pos="2400"/>
                <w:tab w:val="center" w:pos="4513"/>
              </w:tabs>
              <w:bidi w:val="0"/>
              <w:spacing w:line="360" w:lineRule="auto"/>
              <w:jc w:val="center"/>
              <w:rPr>
                <w:rFonts w:asciiTheme="majorBidi" w:hAnsiTheme="majorBidi" w:cstheme="majorBidi"/>
                <w:lang w:val="en-US"/>
              </w:rPr>
            </w:pPr>
            <w:r w:rsidRPr="00282D55">
              <w:rPr>
                <w:rFonts w:asciiTheme="majorBidi" w:hAnsiTheme="majorBidi" w:cstheme="majorBidi"/>
                <w:lang w:val="en-US"/>
              </w:rPr>
              <w:t>Leukocytosis in second week</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Types of bacteria</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 Frequency </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Percentage </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SS.aureus</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33</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35</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Pseudomonas aeruginosa</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35</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37</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Klebsiella pneumoniae</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10</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10.6</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Acinobacterbaumannii</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6</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6.3</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Enterobacter cloacae</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6</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6.3</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 xml:space="preserve">Escherichia Coli </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4</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4.3</w:t>
            </w:r>
          </w:p>
        </w:tc>
      </w:tr>
      <w:tr w:rsidR="005E0CA3" w:rsidRPr="00282D55" w:rsidTr="00A83281">
        <w:tc>
          <w:tcPr>
            <w:tcW w:w="9242" w:type="dxa"/>
            <w:gridSpan w:val="3"/>
            <w:tcBorders>
              <w:left w:val="nil"/>
              <w:bottom w:val="nil"/>
              <w:right w:val="nil"/>
            </w:tcBorders>
          </w:tcPr>
          <w:p w:rsidR="005E0CA3" w:rsidRPr="00282D55" w:rsidRDefault="005E0CA3" w:rsidP="00282D55">
            <w:pPr>
              <w:bidi w:val="0"/>
              <w:spacing w:line="360" w:lineRule="auto"/>
              <w:rPr>
                <w:rFonts w:asciiTheme="majorBidi" w:hAnsiTheme="majorBidi" w:cstheme="majorBidi"/>
                <w:lang w:val="en-US"/>
              </w:rPr>
            </w:pPr>
          </w:p>
        </w:tc>
      </w:tr>
    </w:tbl>
    <w:p w:rsidR="002A14CE"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Table 9</w:t>
      </w:r>
      <w:r w:rsidR="00143A65">
        <w:rPr>
          <w:rFonts w:asciiTheme="majorBidi" w:hAnsiTheme="majorBidi" w:cstheme="majorBidi"/>
          <w:b/>
          <w:bCs/>
        </w:rPr>
        <w:t>.</w:t>
      </w:r>
      <w:r w:rsidRPr="00282D55">
        <w:rPr>
          <w:rFonts w:asciiTheme="majorBidi" w:hAnsiTheme="majorBidi" w:cstheme="majorBidi"/>
          <w:b/>
          <w:bCs/>
        </w:rPr>
        <w:t xml:space="preserve"> Leukocytosis in the second week</w:t>
      </w:r>
    </w:p>
    <w:p w:rsidR="002A14CE" w:rsidRPr="00282D55" w:rsidRDefault="002A14CE" w:rsidP="00282D55">
      <w:pPr>
        <w:bidi w:val="0"/>
        <w:spacing w:line="360" w:lineRule="auto"/>
        <w:jc w:val="center"/>
        <w:rPr>
          <w:rFonts w:asciiTheme="majorBidi" w:hAnsiTheme="majorBidi" w:cstheme="majorBidi"/>
          <w:b/>
          <w:bCs/>
        </w:rPr>
      </w:pPr>
    </w:p>
    <w:tbl>
      <w:tblPr>
        <w:tblStyle w:val="TableGrid"/>
        <w:tblW w:w="0" w:type="auto"/>
        <w:tblLook w:val="04A0"/>
      </w:tblPr>
      <w:tblGrid>
        <w:gridCol w:w="3080"/>
        <w:gridCol w:w="3081"/>
        <w:gridCol w:w="3081"/>
      </w:tblGrid>
      <w:tr w:rsidR="005E0CA3" w:rsidRPr="00282D55" w:rsidTr="00A83281">
        <w:tc>
          <w:tcPr>
            <w:tcW w:w="9242" w:type="dxa"/>
            <w:gridSpan w:val="3"/>
          </w:tcPr>
          <w:p w:rsidR="005E0CA3" w:rsidRPr="00282D55" w:rsidRDefault="005E0CA3" w:rsidP="00282D55">
            <w:pPr>
              <w:tabs>
                <w:tab w:val="left" w:pos="2160"/>
                <w:tab w:val="center" w:pos="4513"/>
              </w:tabs>
              <w:bidi w:val="0"/>
              <w:spacing w:line="360" w:lineRule="auto"/>
              <w:jc w:val="center"/>
              <w:rPr>
                <w:rFonts w:asciiTheme="majorBidi" w:hAnsiTheme="majorBidi" w:cstheme="majorBidi"/>
                <w:lang w:val="en-US"/>
              </w:rPr>
            </w:pPr>
            <w:r w:rsidRPr="00282D55">
              <w:rPr>
                <w:rFonts w:asciiTheme="majorBidi" w:hAnsiTheme="majorBidi" w:cstheme="majorBidi"/>
                <w:lang w:val="en-US"/>
              </w:rPr>
              <w:t>Leukocytosis in third week</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Types of bacteria</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Frequency  </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Percentage  </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SS.aureus</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30</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34.4</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Pseudomonas aeruginosa</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32</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36.7</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Klebsiella pneumoniae</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10</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11.5</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Acinobacterbaumannii</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9</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10.3</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Enterobacter cloacae</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3.44</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 xml:space="preserve">Escherichia Coli </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3.44</w:t>
            </w:r>
          </w:p>
        </w:tc>
      </w:tr>
    </w:tbl>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Table 10</w:t>
      </w:r>
      <w:r w:rsidR="00143A65">
        <w:rPr>
          <w:rFonts w:asciiTheme="majorBidi" w:hAnsiTheme="majorBidi" w:cstheme="majorBidi"/>
          <w:b/>
          <w:bCs/>
        </w:rPr>
        <w:t>.</w:t>
      </w:r>
      <w:r w:rsidRPr="00282D55">
        <w:rPr>
          <w:rFonts w:asciiTheme="majorBidi" w:hAnsiTheme="majorBidi" w:cstheme="majorBidi"/>
          <w:b/>
          <w:bCs/>
        </w:rPr>
        <w:t xml:space="preserve"> Leukocytosis in the third week </w:t>
      </w:r>
    </w:p>
    <w:p w:rsidR="005E0CA3" w:rsidRPr="00282D55" w:rsidRDefault="005E0CA3" w:rsidP="00282D55">
      <w:pPr>
        <w:pStyle w:val="Heading2"/>
        <w:bidi w:val="0"/>
        <w:spacing w:line="360" w:lineRule="auto"/>
        <w:rPr>
          <w:color w:val="auto"/>
        </w:rPr>
      </w:pPr>
      <w:bookmarkStart w:id="23" w:name="_Toc36963373"/>
      <w:r w:rsidRPr="00282D55">
        <w:rPr>
          <w:color w:val="auto"/>
        </w:rPr>
        <w:lastRenderedPageBreak/>
        <w:t>4.10.2. Leukopenia in burn patients who had infection</w:t>
      </w:r>
      <w:bookmarkEnd w:id="23"/>
    </w:p>
    <w:p w:rsidR="005E0CA3" w:rsidRPr="00282D55" w:rsidRDefault="005E0CA3" w:rsidP="00282D55">
      <w:pPr>
        <w:bidi w:val="0"/>
        <w:spacing w:line="360" w:lineRule="auto"/>
        <w:rPr>
          <w:rFonts w:asciiTheme="majorBidi" w:hAnsiTheme="majorBidi" w:cstheme="majorBidi"/>
        </w:rPr>
      </w:pPr>
      <w:r w:rsidRPr="00282D55">
        <w:rPr>
          <w:rFonts w:asciiTheme="majorBidi" w:hAnsiTheme="majorBidi" w:cstheme="majorBidi"/>
        </w:rPr>
        <w:t xml:space="preserve">In the first week 6 patients had leucopenia, they were infected with SS.aureus, Pseudomonas aeruginosa, Klebsiella pneumonia, Enterobacterskazakii.   </w:t>
      </w:r>
    </w:p>
    <w:p w:rsidR="005E0CA3" w:rsidRPr="00282D55" w:rsidRDefault="005E0CA3" w:rsidP="00282D55">
      <w:pPr>
        <w:bidi w:val="0"/>
        <w:spacing w:line="360" w:lineRule="auto"/>
        <w:rPr>
          <w:rFonts w:asciiTheme="majorBidi" w:hAnsiTheme="majorBidi" w:cstheme="majorBidi"/>
          <w:b/>
          <w:bCs/>
        </w:rPr>
      </w:pPr>
    </w:p>
    <w:tbl>
      <w:tblPr>
        <w:tblStyle w:val="TableGrid"/>
        <w:tblW w:w="0" w:type="auto"/>
        <w:tblLook w:val="04A0"/>
      </w:tblPr>
      <w:tblGrid>
        <w:gridCol w:w="3080"/>
        <w:gridCol w:w="3081"/>
        <w:gridCol w:w="3081"/>
      </w:tblGrid>
      <w:tr w:rsidR="005E0CA3" w:rsidRPr="00282D55" w:rsidTr="00A83281">
        <w:tc>
          <w:tcPr>
            <w:tcW w:w="9242" w:type="dxa"/>
            <w:gridSpan w:val="3"/>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Leukopenia in first week</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Types of bacteria</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Frequency  </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Percentage  </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SS.aureus</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2</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33.4</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Pseudomonas aeruginosa</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2</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33.4</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Klebsiella pneumoniae</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16.6</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Enterobacter skazakii</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16.6</w:t>
            </w:r>
          </w:p>
        </w:tc>
      </w:tr>
    </w:tbl>
    <w:p w:rsidR="005E0CA3" w:rsidRPr="00282D55" w:rsidRDefault="005E0CA3" w:rsidP="00282D55">
      <w:pPr>
        <w:bidi w:val="0"/>
        <w:spacing w:line="360" w:lineRule="auto"/>
        <w:rPr>
          <w:rFonts w:asciiTheme="majorBidi" w:hAnsiTheme="majorBidi" w:cstheme="majorBidi"/>
          <w:b/>
          <w:bCs/>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Table 11</w:t>
      </w:r>
      <w:r w:rsidR="00143A65">
        <w:rPr>
          <w:rFonts w:asciiTheme="majorBidi" w:hAnsiTheme="majorBidi" w:cstheme="majorBidi"/>
          <w:b/>
          <w:bCs/>
        </w:rPr>
        <w:t>.</w:t>
      </w:r>
      <w:r w:rsidRPr="00282D55">
        <w:rPr>
          <w:rFonts w:asciiTheme="majorBidi" w:hAnsiTheme="majorBidi" w:cstheme="majorBidi"/>
          <w:b/>
          <w:bCs/>
        </w:rPr>
        <w:t xml:space="preserve"> leukopenia in the first week</w:t>
      </w: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bidi w:val="0"/>
        <w:spacing w:line="360" w:lineRule="auto"/>
        <w:rPr>
          <w:rFonts w:asciiTheme="majorBidi" w:hAnsiTheme="majorBidi" w:cstheme="majorBidi"/>
        </w:rPr>
      </w:pPr>
      <w:r w:rsidRPr="00282D55">
        <w:rPr>
          <w:rFonts w:asciiTheme="majorBidi" w:hAnsiTheme="majorBidi" w:cstheme="majorBidi"/>
        </w:rPr>
        <w:t xml:space="preserve">In the second week we had 3 cases </w:t>
      </w:r>
      <w:r w:rsidR="002A14CE" w:rsidRPr="00282D55">
        <w:rPr>
          <w:rFonts w:asciiTheme="majorBidi" w:hAnsiTheme="majorBidi" w:cstheme="majorBidi"/>
        </w:rPr>
        <w:t>that</w:t>
      </w:r>
      <w:r w:rsidRPr="00282D55">
        <w:rPr>
          <w:rFonts w:asciiTheme="majorBidi" w:hAnsiTheme="majorBidi" w:cstheme="majorBidi"/>
        </w:rPr>
        <w:t xml:space="preserve"> had leucopenia, they were infected with SS.aureus, Enterobacter cloacae, Klebsiella pneumonia.   </w:t>
      </w:r>
    </w:p>
    <w:p w:rsidR="005E0CA3" w:rsidRPr="00282D55" w:rsidRDefault="005E0CA3" w:rsidP="00282D55">
      <w:pPr>
        <w:bidi w:val="0"/>
        <w:spacing w:line="360" w:lineRule="auto"/>
        <w:rPr>
          <w:rFonts w:asciiTheme="majorBidi" w:hAnsiTheme="majorBidi" w:cstheme="majorBidi"/>
        </w:rPr>
      </w:pPr>
    </w:p>
    <w:tbl>
      <w:tblPr>
        <w:tblStyle w:val="TableGrid"/>
        <w:tblW w:w="0" w:type="auto"/>
        <w:tblLook w:val="04A0"/>
      </w:tblPr>
      <w:tblGrid>
        <w:gridCol w:w="3080"/>
        <w:gridCol w:w="3081"/>
        <w:gridCol w:w="3081"/>
      </w:tblGrid>
      <w:tr w:rsidR="005E0CA3" w:rsidRPr="00282D55" w:rsidTr="00A83281">
        <w:tc>
          <w:tcPr>
            <w:tcW w:w="9242" w:type="dxa"/>
            <w:gridSpan w:val="3"/>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Leukopenia in second week</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Types of bacteria</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Frequency  </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Percentage  </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SS.aureus</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33.3 </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Klebsiella pneumoniae</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 33.3</w:t>
            </w:r>
          </w:p>
        </w:tc>
      </w:tr>
      <w:tr w:rsidR="005E0CA3" w:rsidRPr="00282D55" w:rsidTr="00A83281">
        <w:tc>
          <w:tcPr>
            <w:tcW w:w="3080"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rPr>
              <w:t xml:space="preserve">Enterobacter cloacae </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1</w:t>
            </w:r>
          </w:p>
        </w:tc>
        <w:tc>
          <w:tcPr>
            <w:tcW w:w="3081" w:type="dxa"/>
          </w:tcPr>
          <w:p w:rsidR="005E0CA3" w:rsidRPr="00282D55" w:rsidRDefault="005E0CA3" w:rsidP="00282D55">
            <w:pPr>
              <w:bidi w:val="0"/>
              <w:spacing w:line="360" w:lineRule="auto"/>
              <w:jc w:val="center"/>
              <w:rPr>
                <w:rFonts w:asciiTheme="majorBidi" w:hAnsiTheme="majorBidi" w:cstheme="majorBidi"/>
                <w:lang w:val="en-US"/>
              </w:rPr>
            </w:pPr>
            <w:r w:rsidRPr="00282D55">
              <w:rPr>
                <w:rFonts w:asciiTheme="majorBidi" w:hAnsiTheme="majorBidi" w:cstheme="majorBidi"/>
                <w:lang w:val="en-US"/>
              </w:rPr>
              <w:t xml:space="preserve"> 33.3</w:t>
            </w:r>
          </w:p>
        </w:tc>
      </w:tr>
    </w:tbl>
    <w:p w:rsidR="005E0CA3" w:rsidRPr="00282D55" w:rsidRDefault="005E0CA3" w:rsidP="00282D55">
      <w:pPr>
        <w:tabs>
          <w:tab w:val="left" w:pos="3345"/>
        </w:tabs>
        <w:bidi w:val="0"/>
        <w:spacing w:line="360" w:lineRule="auto"/>
        <w:rPr>
          <w:rFonts w:asciiTheme="majorBidi" w:hAnsiTheme="majorBidi" w:cstheme="majorBidi"/>
        </w:rPr>
      </w:pPr>
    </w:p>
    <w:p w:rsidR="005E0CA3" w:rsidRPr="00282D55" w:rsidRDefault="005E0CA3" w:rsidP="00282D55">
      <w:pPr>
        <w:bidi w:val="0"/>
        <w:spacing w:line="360" w:lineRule="auto"/>
        <w:jc w:val="center"/>
        <w:rPr>
          <w:rFonts w:asciiTheme="majorBidi" w:hAnsiTheme="majorBidi" w:cstheme="majorBidi"/>
          <w:b/>
          <w:bCs/>
        </w:rPr>
      </w:pPr>
      <w:r w:rsidRPr="00282D55">
        <w:rPr>
          <w:rFonts w:asciiTheme="majorBidi" w:hAnsiTheme="majorBidi" w:cstheme="majorBidi"/>
          <w:b/>
          <w:bCs/>
        </w:rPr>
        <w:t>Table 12</w:t>
      </w:r>
      <w:r w:rsidR="00143A65">
        <w:rPr>
          <w:rFonts w:asciiTheme="majorBidi" w:hAnsiTheme="majorBidi" w:cstheme="majorBidi"/>
          <w:b/>
          <w:bCs/>
        </w:rPr>
        <w:t>.</w:t>
      </w:r>
      <w:r w:rsidRPr="00282D55">
        <w:rPr>
          <w:rFonts w:asciiTheme="majorBidi" w:hAnsiTheme="majorBidi" w:cstheme="majorBidi"/>
          <w:b/>
          <w:bCs/>
        </w:rPr>
        <w:t xml:space="preserve"> leukopenia in the second week</w:t>
      </w:r>
    </w:p>
    <w:p w:rsidR="005E0CA3" w:rsidRPr="00282D55" w:rsidRDefault="005E0CA3" w:rsidP="00282D55">
      <w:pPr>
        <w:bidi w:val="0"/>
        <w:spacing w:line="360" w:lineRule="auto"/>
        <w:jc w:val="center"/>
        <w:rPr>
          <w:rFonts w:asciiTheme="majorBidi" w:hAnsiTheme="majorBidi" w:cstheme="majorBidi"/>
          <w:b/>
          <w:bCs/>
        </w:rPr>
      </w:pPr>
    </w:p>
    <w:p w:rsidR="005E0CA3" w:rsidRPr="00282D55" w:rsidRDefault="005E0CA3" w:rsidP="00282D55">
      <w:pPr>
        <w:tabs>
          <w:tab w:val="left" w:pos="2910"/>
        </w:tabs>
        <w:bidi w:val="0"/>
        <w:spacing w:line="360" w:lineRule="auto"/>
        <w:rPr>
          <w:rFonts w:asciiTheme="majorBidi" w:hAnsiTheme="majorBidi" w:cstheme="majorBidi"/>
        </w:rPr>
      </w:pPr>
    </w:p>
    <w:p w:rsidR="005E0CA3" w:rsidRPr="00282D55" w:rsidRDefault="005E0CA3" w:rsidP="00282D55">
      <w:pPr>
        <w:bidi w:val="0"/>
        <w:spacing w:line="360" w:lineRule="auto"/>
        <w:rPr>
          <w:rFonts w:asciiTheme="majorBidi" w:hAnsiTheme="majorBidi" w:cstheme="majorBidi"/>
        </w:rPr>
      </w:pPr>
      <w:r w:rsidRPr="00282D55">
        <w:rPr>
          <w:rFonts w:asciiTheme="majorBidi" w:hAnsiTheme="majorBidi" w:cstheme="majorBidi"/>
        </w:rPr>
        <w:t>In the third week we had one patient who had leucopenia, infected by Serratitaliquefaciens.</w:t>
      </w:r>
    </w:p>
    <w:p w:rsidR="005E0CA3" w:rsidRPr="00282D55" w:rsidRDefault="005E0CA3" w:rsidP="00282D55">
      <w:pPr>
        <w:bidi w:val="0"/>
        <w:spacing w:line="360" w:lineRule="auto"/>
      </w:pPr>
    </w:p>
    <w:p w:rsidR="00F40D47" w:rsidRDefault="00F40D47" w:rsidP="00282D55">
      <w:pPr>
        <w:pStyle w:val="Heading1"/>
        <w:bidi w:val="0"/>
        <w:spacing w:line="360" w:lineRule="auto"/>
        <w:jc w:val="center"/>
        <w:rPr>
          <w:color w:val="auto"/>
        </w:rPr>
      </w:pPr>
      <w:bookmarkStart w:id="24" w:name="_Toc36963375"/>
    </w:p>
    <w:p w:rsidR="00F40D47" w:rsidRDefault="00F40D47" w:rsidP="00F40D47">
      <w:pPr>
        <w:pStyle w:val="Heading1"/>
        <w:bidi w:val="0"/>
        <w:spacing w:line="360" w:lineRule="auto"/>
        <w:jc w:val="center"/>
        <w:rPr>
          <w:color w:val="auto"/>
        </w:rPr>
      </w:pPr>
    </w:p>
    <w:p w:rsidR="00F40D47" w:rsidRDefault="00F40D47" w:rsidP="00F40D47">
      <w:pPr>
        <w:pStyle w:val="Heading1"/>
        <w:bidi w:val="0"/>
        <w:spacing w:line="360" w:lineRule="auto"/>
        <w:jc w:val="center"/>
        <w:rPr>
          <w:color w:val="auto"/>
        </w:rPr>
      </w:pPr>
    </w:p>
    <w:p w:rsidR="00901B1F" w:rsidRDefault="00901B1F" w:rsidP="00F40D47">
      <w:pPr>
        <w:pStyle w:val="Heading1"/>
        <w:bidi w:val="0"/>
        <w:spacing w:line="360" w:lineRule="auto"/>
        <w:jc w:val="center"/>
        <w:rPr>
          <w:color w:val="auto"/>
        </w:rPr>
      </w:pPr>
      <w:r w:rsidRPr="00282D55">
        <w:rPr>
          <w:color w:val="auto"/>
        </w:rPr>
        <w:t>Discussion</w:t>
      </w:r>
      <w:bookmarkEnd w:id="24"/>
    </w:p>
    <w:p w:rsidR="00924872" w:rsidRPr="008C4589" w:rsidRDefault="00924872" w:rsidP="00143A65">
      <w:pPr>
        <w:bidi w:val="0"/>
        <w:spacing w:line="360" w:lineRule="auto"/>
        <w:ind w:firstLine="720"/>
        <w:rPr>
          <w:lang w:bidi="ar-IQ"/>
        </w:rPr>
      </w:pPr>
      <w:r w:rsidRPr="008C4589">
        <w:rPr>
          <w:lang w:bidi="ar-IQ"/>
        </w:rPr>
        <w:t xml:space="preserve">Burn injuries are a </w:t>
      </w:r>
      <w:r w:rsidR="004C0C1E">
        <w:rPr>
          <w:lang w:bidi="ar-IQ"/>
        </w:rPr>
        <w:t>significant</w:t>
      </w:r>
      <w:r w:rsidRPr="008C4589">
        <w:rPr>
          <w:lang w:bidi="ar-IQ"/>
        </w:rPr>
        <w:t xml:space="preserve"> cause of both mortality and morbidity, leaving the victims with lifelong physical, psychological and </w:t>
      </w:r>
      <w:r>
        <w:rPr>
          <w:lang w:bidi="ar-IQ"/>
        </w:rPr>
        <w:t>emotional disability. We conducted</w:t>
      </w:r>
      <w:r w:rsidRPr="008C4589">
        <w:rPr>
          <w:lang w:bidi="ar-IQ"/>
        </w:rPr>
        <w:t xml:space="preserve"> this study to identify the method of burn injuries in sulaimanyah</w:t>
      </w:r>
      <w:r>
        <w:rPr>
          <w:lang w:bidi="ar-IQ"/>
        </w:rPr>
        <w:t xml:space="preserve"> city</w:t>
      </w:r>
      <w:r w:rsidRPr="008C4589">
        <w:rPr>
          <w:lang w:bidi="ar-IQ"/>
        </w:rPr>
        <w:t>, and the most important factors associated with outcome of burn injuries.</w:t>
      </w:r>
    </w:p>
    <w:p w:rsidR="00AB3D01" w:rsidRDefault="00924872" w:rsidP="004C0C1E">
      <w:pPr>
        <w:bidi w:val="0"/>
        <w:spacing w:line="360" w:lineRule="auto"/>
        <w:ind w:firstLine="720"/>
      </w:pPr>
      <w:r w:rsidRPr="008C4589">
        <w:rPr>
          <w:lang w:bidi="ar-IQ"/>
        </w:rPr>
        <w:t>In our study female to male ratio of the burn</w:t>
      </w:r>
      <w:r>
        <w:rPr>
          <w:lang w:bidi="ar-IQ"/>
        </w:rPr>
        <w:t xml:space="preserve"> patients was nearly (2:</w:t>
      </w:r>
      <w:r w:rsidRPr="008C4589">
        <w:rPr>
          <w:lang w:bidi="ar-IQ"/>
        </w:rPr>
        <w:t>1</w:t>
      </w:r>
      <w:r>
        <w:rPr>
          <w:lang w:bidi="ar-IQ"/>
        </w:rPr>
        <w:t>)</w:t>
      </w:r>
      <w:r w:rsidRPr="008C4589">
        <w:rPr>
          <w:lang w:bidi="ar-IQ"/>
        </w:rPr>
        <w:t>,</w:t>
      </w:r>
      <w:r w:rsidR="009E145C">
        <w:rPr>
          <w:lang w:bidi="ar-IQ"/>
        </w:rPr>
        <w:t xml:space="preserve"> this result correlates with a study</w:t>
      </w:r>
      <w:r w:rsidR="009E145C" w:rsidRPr="00AE5A33">
        <w:rPr>
          <w:color w:val="000000"/>
          <w:shd w:val="clear" w:color="auto" w:fill="FFFFFF"/>
        </w:rPr>
        <w:t>undertaken at the Al-Fayhaa Burn Centre in Basra</w:t>
      </w:r>
      <w:r w:rsidR="00AE5A33">
        <w:rPr>
          <w:color w:val="000000"/>
          <w:sz w:val="27"/>
          <w:szCs w:val="27"/>
          <w:shd w:val="clear" w:color="auto" w:fill="FFFFFF"/>
        </w:rPr>
        <w:t xml:space="preserve"> city</w:t>
      </w:r>
      <w:r w:rsidR="006357E3">
        <w:rPr>
          <w:color w:val="000000"/>
          <w:sz w:val="27"/>
          <w:szCs w:val="27"/>
          <w:shd w:val="clear" w:color="auto" w:fill="FFFFFF"/>
        </w:rPr>
        <w:fldChar w:fldCharType="begin"/>
      </w:r>
      <w:r w:rsidR="00AE5A33">
        <w:rPr>
          <w:color w:val="000000"/>
          <w:sz w:val="27"/>
          <w:szCs w:val="27"/>
          <w:shd w:val="clear" w:color="auto" w:fill="FFFFFF"/>
        </w:rPr>
        <w:instrText xml:space="preserve"> ADDIN EN.CITE &lt;EndNote&gt;&lt;Cite&gt;&lt;Author&gt;Al-Shamsi&lt;/Author&gt;&lt;Year&gt;2017&lt;/Year&gt;&lt;RecNum&gt;85&lt;/RecNum&gt;&lt;DisplayText&gt;(40)&lt;/DisplayText&gt;&lt;record&gt;&lt;rec-number&gt;85&lt;/rec-number&gt;&lt;foreign-keys&gt;&lt;key app="EN" db-id="fpxxxaz24vpvwoe50sfxpwvpvx2s0wfs9dse" timestamp="1586093042"&gt;85&lt;/key&gt;&lt;/foreign-keys&gt;&lt;ref-type name="Journal Article"&gt;17&lt;/ref-type&gt;&lt;contributors&gt;&lt;authors&gt;&lt;author&gt;Al-Shamsi, M&lt;/author&gt;&lt;author&gt;Othman, N&lt;/author&gt;&lt;/authors&gt;&lt;/contributors&gt;&lt;titles&gt;&lt;title&gt;The epidemiology of burns in Basra, Iraq&lt;/title&gt;&lt;secondary-title&gt;Annals of burns and fire disasters&lt;/secondary-title&gt;&lt;/titles&gt;&lt;periodical&gt;&lt;full-title&gt;Annals of burns and fire disasters&lt;/full-title&gt;&lt;/periodical&gt;&lt;pages&gt;167&lt;/pages&gt;&lt;volume&gt;30&lt;/volume&gt;&lt;number&gt;3&lt;/number&gt;&lt;dates&gt;&lt;year&gt;2017&lt;/year&gt;&lt;/dates&gt;&lt;urls&gt;&lt;/urls&gt;&lt;/record&gt;&lt;/Cite&gt;&lt;/EndNote&gt;</w:instrText>
      </w:r>
      <w:r w:rsidR="006357E3">
        <w:rPr>
          <w:color w:val="000000"/>
          <w:sz w:val="27"/>
          <w:szCs w:val="27"/>
          <w:shd w:val="clear" w:color="auto" w:fill="FFFFFF"/>
        </w:rPr>
        <w:fldChar w:fldCharType="separate"/>
      </w:r>
      <w:r w:rsidR="00AE5A33">
        <w:rPr>
          <w:noProof/>
          <w:color w:val="000000"/>
          <w:sz w:val="27"/>
          <w:szCs w:val="27"/>
          <w:shd w:val="clear" w:color="auto" w:fill="FFFFFF"/>
        </w:rPr>
        <w:t>(40)</w:t>
      </w:r>
      <w:r w:rsidR="006357E3">
        <w:rPr>
          <w:color w:val="000000"/>
          <w:sz w:val="27"/>
          <w:szCs w:val="27"/>
          <w:shd w:val="clear" w:color="auto" w:fill="FFFFFF"/>
        </w:rPr>
        <w:fldChar w:fldCharType="end"/>
      </w:r>
      <w:r w:rsidR="00AE5A33">
        <w:rPr>
          <w:color w:val="000000"/>
          <w:sz w:val="27"/>
          <w:szCs w:val="27"/>
          <w:shd w:val="clear" w:color="auto" w:fill="FFFFFF"/>
        </w:rPr>
        <w:t xml:space="preserve">, </w:t>
      </w:r>
      <w:r w:rsidR="00AE5A33">
        <w:rPr>
          <w:color w:val="000000"/>
          <w:shd w:val="clear" w:color="auto" w:fill="FFFFFF"/>
        </w:rPr>
        <w:t>and it is</w:t>
      </w:r>
      <w:r w:rsidRPr="008C4589">
        <w:rPr>
          <w:lang w:bidi="ar-IQ"/>
        </w:rPr>
        <w:t xml:space="preserve"> contrast to demographic research </w:t>
      </w:r>
      <w:r>
        <w:rPr>
          <w:lang w:bidi="ar-IQ"/>
        </w:rPr>
        <w:t>done in Karachi that reported the ratio of the burn patients was (1:</w:t>
      </w:r>
      <w:r w:rsidRPr="008C4589">
        <w:rPr>
          <w:lang w:bidi="ar-IQ"/>
        </w:rPr>
        <w:t>1</w:t>
      </w:r>
      <w:r>
        <w:rPr>
          <w:lang w:bidi="ar-IQ"/>
        </w:rPr>
        <w:t>)</w:t>
      </w:r>
      <w:r w:rsidR="006357E3">
        <w:rPr>
          <w:lang w:bidi="ar-IQ"/>
        </w:rPr>
        <w:fldChar w:fldCharType="begin"/>
      </w:r>
      <w:r w:rsidR="00AE5A33">
        <w:rPr>
          <w:lang w:bidi="ar-IQ"/>
        </w:rPr>
        <w:instrText xml:space="preserve"> ADDIN EN.CITE &lt;EndNote&gt;&lt;Cite&gt;&lt;Author&gt;Ali&lt;/Author&gt;&lt;Year&gt;2016&lt;/Year&gt;&lt;RecNum&gt;15&lt;/RecNum&gt;&lt;DisplayText&gt;(41)&lt;/DisplayText&gt;&lt;record&gt;&lt;rec-number&gt;15&lt;/rec-number&gt;&lt;foreign-keys&gt;&lt;key app="EN" db-id="fpxxxaz24vpvwoe50sfxpwvpvx2s0wfs9dse" timestamp="1580417073"&gt;15&lt;/key&gt;&lt;/foreign-keys&gt;&lt;ref-type name="Journal Article"&gt;17&lt;/ref-type&gt;&lt;contributors&gt;&lt;authors&gt;&lt;author&gt;Ali, SA&lt;/author&gt;&lt;author&gt;Hamiz-ul-Fawwad, S&lt;/author&gt;&lt;author&gt;Al-Ibran, E&lt;/author&gt;&lt;author&gt;Ahmed, G&lt;/author&gt;&lt;author&gt;Saleem, A&lt;/author&gt;&lt;author&gt;Mustafa, D&lt;/author&gt;&lt;author&gt;Hussain, M&lt;/author&gt;&lt;/authors&gt;&lt;/contributors&gt;&lt;titles&gt;&lt;title&gt;Clinical and demographic features of burn injuries in Karachi: a six-year experience at the burns Centre, civil hospital, Karachi&lt;/title&gt;&lt;secondary-title&gt;Annals of burns and fire disasters&lt;/secondary-title&gt;&lt;/titles&gt;&lt;periodical&gt;&lt;full-title&gt;Annals of burns and fire disasters&lt;/full-title&gt;&lt;/periodical&gt;&lt;pages&gt;4&lt;/pages&gt;&lt;volume&gt;29&lt;/volume&gt;&lt;number&gt;1&lt;/number&gt;&lt;dates&gt;&lt;year&gt;2016&lt;/year&gt;&lt;/dates&gt;&lt;urls&gt;&lt;/urls&gt;&lt;/record&gt;&lt;/Cite&gt;&lt;/EndNote&gt;</w:instrText>
      </w:r>
      <w:r w:rsidR="006357E3">
        <w:rPr>
          <w:lang w:bidi="ar-IQ"/>
        </w:rPr>
        <w:fldChar w:fldCharType="separate"/>
      </w:r>
      <w:r w:rsidR="00AE5A33">
        <w:rPr>
          <w:noProof/>
          <w:lang w:bidi="ar-IQ"/>
        </w:rPr>
        <w:t>(41)</w:t>
      </w:r>
      <w:r w:rsidR="006357E3">
        <w:rPr>
          <w:lang w:bidi="ar-IQ"/>
        </w:rPr>
        <w:fldChar w:fldCharType="end"/>
      </w:r>
      <w:r w:rsidR="00A2526C">
        <w:rPr>
          <w:lang w:bidi="ar-IQ"/>
        </w:rPr>
        <w:t xml:space="preserve">, and to another study that was conducted in Alabama University in USA </w:t>
      </w:r>
      <w:r w:rsidR="006357E3">
        <w:rPr>
          <w:lang w:bidi="ar-IQ"/>
        </w:rPr>
        <w:fldChar w:fldCharType="begin"/>
      </w:r>
      <w:r w:rsidR="00AE5A33">
        <w:rPr>
          <w:lang w:bidi="ar-IQ"/>
        </w:rPr>
        <w:instrText xml:space="preserve"> ADDIN EN.CITE &lt;EndNote&gt;&lt;Cite&gt;&lt;Author&gt;McGwin Jr&lt;/Author&gt;&lt;Year&gt;2002&lt;/Year&gt;&lt;RecNum&gt;80&lt;/RecNum&gt;&lt;DisplayText&gt;(42)&lt;/DisplayText&gt;&lt;record&gt;&lt;rec-number&gt;80&lt;/rec-number&gt;&lt;foreign-keys&gt;&lt;key app="EN" db-id="fpxxxaz24vpvwoe50sfxpwvpvx2s0wfs9dse" timestamp="1586080194"&gt;80&lt;/key&gt;&lt;/foreign-keys&gt;&lt;ref-type name="Journal Article"&gt;17&lt;/ref-type&gt;&lt;contributors&gt;&lt;authors&gt;&lt;author&gt;McGwin Jr, Gerald&lt;/author&gt;&lt;author&gt;George, Richard L&lt;/author&gt;&lt;author&gt;Cross, James M&lt;/author&gt;&lt;author&gt;Reiff, Donald A&lt;/author&gt;&lt;author&gt;Chaudry, Irshad H&lt;/author&gt;&lt;author&gt;Rue III, Loring W&lt;/author&gt;&lt;/authors&gt;&lt;/contributors&gt;&lt;titles&gt;&lt;title&gt;Gender differences in mortality following burn injury&lt;/title&gt;&lt;secondary-title&gt;Shock&lt;/secondary-title&gt;&lt;/titles&gt;&lt;periodical&gt;&lt;full-title&gt;Shock&lt;/full-title&gt;&lt;/periodical&gt;&lt;pages&gt;311-315&lt;/pages&gt;&lt;volume&gt;18&lt;/volume&gt;&lt;number&gt;4&lt;/number&gt;&lt;dates&gt;&lt;year&gt;2002&lt;/year&gt;&lt;/dates&gt;&lt;isbn&gt;1073-2322&lt;/isbn&gt;&lt;urls&gt;&lt;/urls&gt;&lt;/record&gt;&lt;/Cite&gt;&lt;/EndNote&gt;</w:instrText>
      </w:r>
      <w:r w:rsidR="006357E3">
        <w:rPr>
          <w:lang w:bidi="ar-IQ"/>
        </w:rPr>
        <w:fldChar w:fldCharType="separate"/>
      </w:r>
      <w:r w:rsidR="00AE5A33">
        <w:rPr>
          <w:noProof/>
          <w:lang w:bidi="ar-IQ"/>
        </w:rPr>
        <w:t>(42)</w:t>
      </w:r>
      <w:r w:rsidR="006357E3">
        <w:rPr>
          <w:lang w:bidi="ar-IQ"/>
        </w:rPr>
        <w:fldChar w:fldCharType="end"/>
      </w:r>
      <w:r w:rsidR="00A2526C">
        <w:rPr>
          <w:lang w:bidi="ar-IQ"/>
        </w:rPr>
        <w:t xml:space="preserve"> that reported </w:t>
      </w:r>
      <w:r w:rsidR="00A2526C" w:rsidRPr="00A2526C">
        <w:rPr>
          <w:lang w:bidi="ar-IQ"/>
        </w:rPr>
        <w:t xml:space="preserve">(76.3%) </w:t>
      </w:r>
      <w:r w:rsidR="00A2526C">
        <w:rPr>
          <w:lang w:bidi="ar-IQ"/>
        </w:rPr>
        <w:t xml:space="preserve">of the patients </w:t>
      </w:r>
      <w:r w:rsidR="00A2526C" w:rsidRPr="00A2526C">
        <w:rPr>
          <w:lang w:bidi="ar-IQ"/>
        </w:rPr>
        <w:t>were male and 382 (23.7%) were female</w:t>
      </w:r>
      <w:r w:rsidR="009E145C">
        <w:rPr>
          <w:lang w:bidi="ar-IQ"/>
        </w:rPr>
        <w:t>.</w:t>
      </w:r>
    </w:p>
    <w:p w:rsidR="001E1F45" w:rsidRDefault="001E1F45" w:rsidP="00143A65">
      <w:pPr>
        <w:bidi w:val="0"/>
        <w:spacing w:line="360" w:lineRule="auto"/>
        <w:ind w:firstLine="720"/>
        <w:rPr>
          <w:lang w:bidi="ar-IQ"/>
        </w:rPr>
      </w:pPr>
      <w:r>
        <w:t xml:space="preserve">The reasons why females have higher risk of burn in our study may be due to their association with cooking, using unsafe cooking stove which can ignite loose clothing, and self-inflicted or interpersonal violence are also factors. </w:t>
      </w:r>
    </w:p>
    <w:p w:rsidR="00924872" w:rsidRPr="008C4589" w:rsidRDefault="00AB3D01" w:rsidP="00143A65">
      <w:pPr>
        <w:bidi w:val="0"/>
        <w:spacing w:line="360" w:lineRule="auto"/>
        <w:ind w:firstLine="720"/>
        <w:rPr>
          <w:lang w:bidi="ar-IQ"/>
        </w:rPr>
      </w:pPr>
      <w:r w:rsidRPr="008C4589">
        <w:t>O</w:t>
      </w:r>
      <w:r w:rsidR="00924872" w:rsidRPr="008C4589">
        <w:t>ur study showed that 41.8% of  patient</w:t>
      </w:r>
      <w:r w:rsidR="00924872" w:rsidRPr="008C4589">
        <w:rPr>
          <w:vertAlign w:val="superscript"/>
        </w:rPr>
        <w:t>’</w:t>
      </w:r>
      <w:r w:rsidR="00924872" w:rsidRPr="008C4589">
        <w:t>s ages were (18-28) years old, and 7% aged more than 48 years old ,</w:t>
      </w:r>
      <w:r w:rsidR="00143A65">
        <w:t xml:space="preserve"> a study by G</w:t>
      </w:r>
      <w:r>
        <w:t xml:space="preserve">upta </w:t>
      </w:r>
      <w:r w:rsidR="00924872" w:rsidRPr="008C4589">
        <w:t>et al reported that the majority (79%) of the cases were in the 15-45 ages</w:t>
      </w:r>
      <w:r>
        <w:t xml:space="preserve"> group </w:t>
      </w:r>
      <w:r w:rsidR="006357E3">
        <w:fldChar w:fldCharType="begin"/>
      </w:r>
      <w:r w:rsidR="00AE5A33">
        <w:instrText xml:space="preserve"> ADDIN EN.CITE &lt;EndNote&gt;&lt;Cite&gt;&lt;Author&gt;Gupta&lt;/Author&gt;&lt;Year&gt;2011&lt;/Year&gt;&lt;RecNum&gt;74&lt;/RecNum&gt;&lt;DisplayText&gt;(43)&lt;/DisplayText&gt;&lt;record&gt;&lt;rec-number&gt;74&lt;/rec-number&gt;&lt;foreign-keys&gt;&lt;key app="EN" db-id="fpxxxaz24vpvwoe50sfxpwvpvx2s0wfs9dse" timestamp="1586015738"&gt;74&lt;/key&gt;&lt;/foreign-keys&gt;&lt;ref-type name="Journal Article"&gt;17&lt;/ref-type&gt;&lt;contributors&gt;&lt;authors&gt;&lt;author&gt;Gupta, Ashok K&lt;/author&gt;&lt;author&gt;Uppal, Sanjeev&lt;/author&gt;&lt;author&gt;Garg, Ramneesh&lt;/author&gt;&lt;author&gt;Gupta, Ashish&lt;/author&gt;&lt;author&gt;Pal, Ranabir&lt;/author&gt;&lt;/authors&gt;&lt;/contributors&gt;&lt;titles&gt;&lt;title&gt;A clinico-epidemiologic study of 892 patients with burn injuries at a tertiary care hospital in Punjab, India&lt;/title&gt;&lt;secondary-title&gt;Journal of emergencies, trauma and shock&lt;/secondary-title&gt;&lt;/titles&gt;&lt;periodical&gt;&lt;full-title&gt;Journal of emergencies, trauma and shock&lt;/full-title&gt;&lt;/periodical&gt;&lt;pages&gt;7&lt;/pages&gt;&lt;volume&gt;4&lt;/volume&gt;&lt;number&gt;1&lt;/number&gt;&lt;dates&gt;&lt;year&gt;2011&lt;/year&gt;&lt;/dates&gt;&lt;urls&gt;&lt;/urls&gt;&lt;/record&gt;&lt;/Cite&gt;&lt;/EndNote&gt;</w:instrText>
      </w:r>
      <w:r w:rsidR="006357E3">
        <w:fldChar w:fldCharType="separate"/>
      </w:r>
      <w:r w:rsidR="00AE5A33">
        <w:rPr>
          <w:noProof/>
        </w:rPr>
        <w:t>(43)</w:t>
      </w:r>
      <w:r w:rsidR="006357E3">
        <w:fldChar w:fldCharType="end"/>
      </w:r>
      <w:r>
        <w:t xml:space="preserve">, another </w:t>
      </w:r>
      <w:r w:rsidR="00924872" w:rsidRPr="008C4589">
        <w:t xml:space="preserve">study in Karachi reported that (58.2%) of the cases were 16-30 </w:t>
      </w:r>
      <w:r w:rsidR="00924872" w:rsidRPr="008C4589">
        <w:rPr>
          <w:lang w:bidi="ar-IQ"/>
        </w:rPr>
        <w:t>years followed by those aged between 31-45 age group</w:t>
      </w:r>
      <w:r w:rsidR="006357E3">
        <w:rPr>
          <w:lang w:bidi="ar-IQ"/>
        </w:rPr>
        <w:fldChar w:fldCharType="begin"/>
      </w:r>
      <w:r w:rsidR="00AE5A33">
        <w:rPr>
          <w:lang w:bidi="ar-IQ"/>
        </w:rPr>
        <w:instrText xml:space="preserve"> ADDIN EN.CITE &lt;EndNote&gt;&lt;Cite&gt;&lt;Author&gt;Ali&lt;/Author&gt;&lt;Year&gt;2016&lt;/Year&gt;&lt;RecNum&gt;73&lt;/RecNum&gt;&lt;DisplayText&gt;(41)&lt;/DisplayText&gt;&lt;record&gt;&lt;rec-number&gt;73&lt;/rec-number&gt;&lt;foreign-keys&gt;&lt;key app="EN" db-id="fpxxxaz24vpvwoe50sfxpwvpvx2s0wfs9dse" timestamp="1586015526"&gt;73&lt;/key&gt;&lt;/foreign-keys&gt;&lt;ref-type name="Journal Article"&gt;17&lt;/ref-type&gt;&lt;contributors&gt;&lt;authors&gt;&lt;author&gt;Ali, SA&lt;/author&gt;&lt;author&gt;Hamiz-ul-Fawwad, S&lt;/author&gt;&lt;author&gt;Al-Ibran, E&lt;/author&gt;&lt;author&gt;Ahmed, G&lt;/author&gt;&lt;author&gt;Saleem, A&lt;/author&gt;&lt;author&gt;Mustafa, D&lt;/author&gt;&lt;author&gt;Hussain, M&lt;/author&gt;&lt;/authors&gt;&lt;/contributors&gt;&lt;titles&gt;&lt;title&gt;Clinical and demographic features of burn injuries in Karachi: a six-year experience at the burns Centre, civil hospital, Karachi&lt;/title&gt;&lt;secondary-title&gt;Annals of burns and fire disasters&lt;/secondary-title&gt;&lt;/titles&gt;&lt;periodical&gt;&lt;full-title&gt;Annals of burns and fire disasters&lt;/full-title&gt;&lt;/periodical&gt;&lt;pages&gt;4&lt;/pages&gt;&lt;volume&gt;29&lt;/volume&gt;&lt;number&gt;1&lt;/number&gt;&lt;dates&gt;&lt;year&gt;2016&lt;/year&gt;&lt;/dates&gt;&lt;urls&gt;&lt;/urls&gt;&lt;/record&gt;&lt;/Cite&gt;&lt;/EndNote&gt;</w:instrText>
      </w:r>
      <w:r w:rsidR="006357E3">
        <w:rPr>
          <w:lang w:bidi="ar-IQ"/>
        </w:rPr>
        <w:fldChar w:fldCharType="separate"/>
      </w:r>
      <w:r w:rsidR="00AE5A33">
        <w:rPr>
          <w:noProof/>
          <w:lang w:bidi="ar-IQ"/>
        </w:rPr>
        <w:t>(41)</w:t>
      </w:r>
      <w:r w:rsidR="006357E3">
        <w:rPr>
          <w:lang w:bidi="ar-IQ"/>
        </w:rPr>
        <w:fldChar w:fldCharType="end"/>
      </w:r>
      <w:r>
        <w:rPr>
          <w:lang w:bidi="ar-IQ"/>
        </w:rPr>
        <w:t>.</w:t>
      </w:r>
      <w:r w:rsidRPr="008C4589">
        <w:rPr>
          <w:lang w:bidi="ar-IQ"/>
        </w:rPr>
        <w:t>T</w:t>
      </w:r>
      <w:r w:rsidR="00924872" w:rsidRPr="008C4589">
        <w:rPr>
          <w:lang w:bidi="ar-IQ"/>
        </w:rPr>
        <w:t>herefor</w:t>
      </w:r>
      <w:r>
        <w:rPr>
          <w:lang w:bidi="ar-IQ"/>
        </w:rPr>
        <w:t>e we can say</w:t>
      </w:r>
      <w:r w:rsidR="00924872" w:rsidRPr="008C4589">
        <w:rPr>
          <w:lang w:bidi="ar-IQ"/>
        </w:rPr>
        <w:t xml:space="preserve"> that people aged</w:t>
      </w:r>
      <w:r>
        <w:rPr>
          <w:lang w:bidi="ar-IQ"/>
        </w:rPr>
        <w:t xml:space="preserve"> between</w:t>
      </w:r>
      <w:r w:rsidR="00924872" w:rsidRPr="008C4589">
        <w:rPr>
          <w:lang w:bidi="ar-IQ"/>
        </w:rPr>
        <w:t xml:space="preserve"> 16-45 years are more likely to suffer from burn in</w:t>
      </w:r>
      <w:r w:rsidR="00BC4D3A">
        <w:rPr>
          <w:lang w:bidi="ar-IQ"/>
        </w:rPr>
        <w:t>juries than any other age group.</w:t>
      </w:r>
    </w:p>
    <w:p w:rsidR="00924872" w:rsidRPr="008C4589" w:rsidRDefault="007A7277" w:rsidP="00143A65">
      <w:pPr>
        <w:bidi w:val="0"/>
        <w:spacing w:line="360" w:lineRule="auto"/>
        <w:ind w:firstLine="720"/>
        <w:rPr>
          <w:color w:val="000000"/>
          <w:shd w:val="clear" w:color="auto" w:fill="FFFFFF"/>
        </w:rPr>
      </w:pPr>
      <w:r>
        <w:rPr>
          <w:color w:val="000000" w:themeColor="text1"/>
          <w:lang w:bidi="ar-IQ"/>
        </w:rPr>
        <w:t>The results</w:t>
      </w:r>
      <w:r w:rsidR="00924872" w:rsidRPr="008C4589">
        <w:rPr>
          <w:color w:val="000000" w:themeColor="text1"/>
          <w:lang w:bidi="ar-IQ"/>
        </w:rPr>
        <w:t xml:space="preserve"> showed that 25% of the patient had a TBSA of 40-50% and 51% of them had II-III degree burns</w:t>
      </w:r>
      <w:r>
        <w:rPr>
          <w:color w:val="000000" w:themeColor="text1"/>
          <w:lang w:bidi="ar-IQ"/>
        </w:rPr>
        <w:t>.</w:t>
      </w:r>
      <w:r>
        <w:rPr>
          <w:shd w:val="clear" w:color="auto" w:fill="FFFFFF"/>
        </w:rPr>
        <w:t>I</w:t>
      </w:r>
      <w:r w:rsidR="00924872" w:rsidRPr="008C4589">
        <w:rPr>
          <w:shd w:val="clear" w:color="auto" w:fill="FFFFFF"/>
        </w:rPr>
        <w:t>n most cases (28.7%)</w:t>
      </w:r>
      <w:r w:rsidR="00AB3D01">
        <w:rPr>
          <w:shd w:val="clear" w:color="auto" w:fill="FFFFFF"/>
        </w:rPr>
        <w:t>, total body surface area</w:t>
      </w:r>
      <w:r>
        <w:rPr>
          <w:shd w:val="clear" w:color="auto" w:fill="FFFFFF"/>
        </w:rPr>
        <w:t xml:space="preserve"> burned was 16-30%, m</w:t>
      </w:r>
      <w:r w:rsidR="00924872" w:rsidRPr="008C4589">
        <w:rPr>
          <w:shd w:val="clear" w:color="auto" w:fill="FFFFFF"/>
        </w:rPr>
        <w:t xml:space="preserve">ean percentage of total body surface area burned was 35.49 ± 27.276%, which is consistent with a study by Lari et al., that reported mean body surface area burned to be 30.6% </w:t>
      </w:r>
      <w:r w:rsidR="006357E3">
        <w:rPr>
          <w:kern w:val="36"/>
        </w:rPr>
        <w:fldChar w:fldCharType="begin"/>
      </w:r>
      <w:r w:rsidR="00AE5A33">
        <w:rPr>
          <w:kern w:val="36"/>
        </w:rPr>
        <w:instrText xml:space="preserve"> ADDIN EN.CITE &lt;EndNote&gt;&lt;Cite&gt;&lt;Author&gt;Lari&lt;/Author&gt;&lt;Year&gt;2000&lt;/Year&gt;&lt;RecNum&gt;75&lt;/RecNum&gt;&lt;DisplayText&gt;(44)&lt;/DisplayText&gt;&lt;record&gt;&lt;rec-number&gt;75&lt;/rec-number&gt;&lt;foreign-keys&gt;&lt;key app="EN" db-id="fpxxxaz24vpvwoe50sfxpwvpvx2s0wfs9dse" timestamp="1586020782"&gt;75&lt;/key&gt;&lt;/foreign-keys&gt;&lt;ref-type name="Journal Article"&gt;17&lt;/ref-type&gt;&lt;contributors&gt;&lt;authors&gt;&lt;author&gt;Lari, Abdolaziz Rastegar&lt;/author&gt;&lt;author&gt;Alaghehbandan, Reza&lt;/author&gt;&lt;author&gt;Nikui, Rahmatollah&lt;/author&gt;&lt;/authors&gt;&lt;/contributors&gt;&lt;titles&gt;&lt;title&gt;Epidemiological study of 3341 burns patients during three years in Tehran, Iran&lt;/title&gt;&lt;secondary-title&gt;Burns&lt;/secondary-title&gt;&lt;/titles&gt;&lt;periodical&gt;&lt;full-title&gt;Burns&lt;/full-title&gt;&lt;/periodical&gt;&lt;pages&gt;49-53&lt;/pages&gt;&lt;volume&gt;26&lt;/volume&gt;&lt;number&gt;1&lt;/number&gt;&lt;dates&gt;&lt;year&gt;2000&lt;/year&gt;&lt;/dates&gt;&lt;isbn&gt;0305-4179&lt;/isbn&gt;&lt;urls&gt;&lt;/urls&gt;&lt;/record&gt;&lt;/Cite&gt;&lt;/EndNote&gt;</w:instrText>
      </w:r>
      <w:r w:rsidR="006357E3">
        <w:rPr>
          <w:kern w:val="36"/>
        </w:rPr>
        <w:fldChar w:fldCharType="separate"/>
      </w:r>
      <w:r w:rsidR="00AE5A33">
        <w:rPr>
          <w:noProof/>
          <w:kern w:val="36"/>
        </w:rPr>
        <w:t>(44)</w:t>
      </w:r>
      <w:r w:rsidR="006357E3">
        <w:rPr>
          <w:kern w:val="36"/>
        </w:rPr>
        <w:fldChar w:fldCharType="end"/>
      </w:r>
      <w:r>
        <w:rPr>
          <w:kern w:val="36"/>
        </w:rPr>
        <w:t>.</w:t>
      </w:r>
    </w:p>
    <w:p w:rsidR="00924872" w:rsidRPr="008C4589" w:rsidRDefault="00924872" w:rsidP="004C0C1E">
      <w:pPr>
        <w:bidi w:val="0"/>
        <w:spacing w:line="360" w:lineRule="auto"/>
        <w:ind w:firstLine="720"/>
        <w:rPr>
          <w:rFonts w:eastAsiaTheme="minorEastAsia"/>
        </w:rPr>
      </w:pPr>
      <w:r w:rsidRPr="008C4589">
        <w:rPr>
          <w:rFonts w:eastAsiaTheme="minorEastAsia"/>
        </w:rPr>
        <w:t>In our study Hematocrit le</w:t>
      </w:r>
      <w:r w:rsidR="00110BB4">
        <w:rPr>
          <w:rFonts w:eastAsiaTheme="minorEastAsia"/>
        </w:rPr>
        <w:t>vel was</w:t>
      </w:r>
      <w:r w:rsidRPr="008C4589">
        <w:rPr>
          <w:rFonts w:eastAsiaTheme="minorEastAsia"/>
        </w:rPr>
        <w:t xml:space="preserve"> de</w:t>
      </w:r>
      <w:r w:rsidR="007A7277">
        <w:rPr>
          <w:rFonts w:eastAsiaTheme="minorEastAsia"/>
        </w:rPr>
        <w:t>cea</w:t>
      </w:r>
      <w:r w:rsidR="00110BB4">
        <w:rPr>
          <w:rFonts w:eastAsiaTheme="minorEastAsia"/>
        </w:rPr>
        <w:t xml:space="preserve">sed, especially inthe </w:t>
      </w:r>
      <w:r w:rsidR="007A7277">
        <w:rPr>
          <w:rFonts w:eastAsiaTheme="minorEastAsia"/>
        </w:rPr>
        <w:t xml:space="preserve">second and third week, </w:t>
      </w:r>
      <w:r w:rsidRPr="008C4589">
        <w:rPr>
          <w:rFonts w:eastAsiaTheme="minorEastAsia"/>
        </w:rPr>
        <w:t>that agree</w:t>
      </w:r>
      <w:r w:rsidR="007A7277">
        <w:rPr>
          <w:rFonts w:eastAsiaTheme="minorEastAsia"/>
        </w:rPr>
        <w:t>s</w:t>
      </w:r>
      <w:r w:rsidRPr="008C4589">
        <w:rPr>
          <w:rFonts w:eastAsiaTheme="minorEastAsia"/>
        </w:rPr>
        <w:t xml:space="preserve"> with the study</w:t>
      </w:r>
      <w:r w:rsidR="007A3478">
        <w:rPr>
          <w:rFonts w:eastAsiaTheme="minorEastAsia"/>
        </w:rPr>
        <w:t xml:space="preserve"> conducted in USA</w:t>
      </w:r>
      <w:r w:rsidR="006357E3">
        <w:rPr>
          <w:rFonts w:eastAsiaTheme="minorEastAsia"/>
        </w:rPr>
        <w:fldChar w:fldCharType="begin"/>
      </w:r>
      <w:r w:rsidR="007A7277">
        <w:rPr>
          <w:rFonts w:eastAsiaTheme="minorEastAsia"/>
        </w:rPr>
        <w:instrText xml:space="preserve"> ADDIN EN.CITE &lt;EndNote&gt;&lt;Cite&gt;&lt;Author&gt;Sen&lt;/Author&gt;&lt;Year&gt;2019&lt;/Year&gt;&lt;RecNum&gt;34&lt;/RecNum&gt;&lt;DisplayText&gt;(20)&lt;/DisplayText&gt;&lt;record&gt;&lt;rec-number&gt;34&lt;/rec-number&gt;&lt;foreign-keys&gt;&lt;key app="EN" db-id="fpxxxaz24vpvwoe50sfxpwvpvx2s0wfs9dse" timestamp="1582816633"&gt;34&lt;/key&gt;&lt;/foreign-keys&gt;&lt;ref-type name="Journal Article"&gt;17&lt;/ref-type&gt;&lt;contributors&gt;&lt;authors&gt;&lt;author&gt;Sen, Soman&lt;/author&gt;&lt;author&gt;Hsei, Luke&lt;/author&gt;&lt;author&gt;Tran, Nam&lt;/author&gt;&lt;author&gt;Romanowski, Kathleen&lt;/author&gt;&lt;author&gt;Palmieri, Tina&lt;/author&gt;&lt;author&gt;Greenhalgh, David&lt;/author&gt;&lt;author&gt;Cho, Kiho&lt;/author&gt;&lt;/authors&gt;&lt;/contributors&gt;&lt;titles&gt;&lt;title&gt;Early clinical complete blood count changes in severe burn injuries&lt;/title&gt;&lt;secondary-title&gt;Burns&lt;/secondary-title&gt;&lt;/titles&gt;&lt;periodical&gt;&lt;full-title&gt;Burns&lt;/full-title&gt;&lt;/periodical&gt;&lt;pages&gt;97-102&lt;/pages&gt;&lt;volume&gt;45&lt;/volume&gt;&lt;number&gt;1&lt;/number&gt;&lt;dates&gt;&lt;year&gt;2019&lt;/year&gt;&lt;/dates&gt;&lt;isbn&gt;0305-4179&lt;/isbn&gt;&lt;urls&gt;&lt;/urls&gt;&lt;/record&gt;&lt;/Cite&gt;&lt;/EndNote&gt;</w:instrText>
      </w:r>
      <w:r w:rsidR="006357E3">
        <w:rPr>
          <w:rFonts w:eastAsiaTheme="minorEastAsia"/>
        </w:rPr>
        <w:fldChar w:fldCharType="separate"/>
      </w:r>
      <w:r w:rsidR="007A7277">
        <w:rPr>
          <w:rFonts w:eastAsiaTheme="minorEastAsia"/>
          <w:noProof/>
        </w:rPr>
        <w:t>(20)</w:t>
      </w:r>
      <w:r w:rsidR="006357E3">
        <w:rPr>
          <w:rFonts w:eastAsiaTheme="minorEastAsia"/>
        </w:rPr>
        <w:fldChar w:fldCharType="end"/>
      </w:r>
      <w:r w:rsidR="007A3478">
        <w:rPr>
          <w:rFonts w:eastAsiaTheme="minorEastAsia"/>
        </w:rPr>
        <w:t xml:space="preserve"> and another one in Egypt </w:t>
      </w:r>
      <w:r w:rsidR="006357E3">
        <w:rPr>
          <w:rFonts w:eastAsiaTheme="minorEastAsia"/>
        </w:rPr>
        <w:fldChar w:fldCharType="begin"/>
      </w:r>
      <w:r w:rsidR="00F02D8A">
        <w:rPr>
          <w:rFonts w:eastAsiaTheme="minorEastAsia"/>
        </w:rPr>
        <w:instrText xml:space="preserve"> ADDIN EN.CITE &lt;EndNote&gt;&lt;Cite&gt;&lt;Author&gt;Saleh&lt;/Author&gt;&lt;Year&gt;2018&lt;/Year&gt;&lt;RecNum&gt;38&lt;/RecNum&gt;&lt;DisplayText&gt;(22)&lt;/DisplayText&gt;&lt;record&gt;&lt;rec-number&gt;38&lt;/rec-number&gt;&lt;foreign-keys&gt;&lt;key app="EN" db-id="fpxxxaz24vpvwoe50sfxpwvpvx2s0wfs9dse" timestamp="1583153285"&gt;38&lt;/key&gt;&lt;/foreign-keys&gt;&lt;ref-type name="Journal Article"&gt;17&lt;/ref-type&gt;&lt;contributors&gt;&lt;authors&gt;&lt;author&gt;Saleh, Samira M&lt;/author&gt;&lt;/authors&gt;&lt;/contributors&gt;&lt;titles&gt;&lt;title&gt;The effect of moderate and severe burn injuries on human liver, kidney &amp;amp; blood (Biochemical study)&lt;/title&gt;&lt;secondary-title&gt;Zagazig Journal of Forensic Medicine&lt;/secondary-title&gt;&lt;/titles&gt;&lt;periodical&gt;&lt;full-title&gt;Zagazig Journal of Forensic Medicine&lt;/full-title&gt;&lt;/periodical&gt;&lt;pages&gt;91-102&lt;/pages&gt;&lt;volume&gt;16&lt;/volume&gt;&lt;number&gt;1&lt;/number&gt;&lt;dates&gt;&lt;year&gt;2018&lt;/year&gt;&lt;/dates&gt;&lt;isbn&gt;1687-160X&lt;/isbn&gt;&lt;urls&gt;&lt;/urls&gt;&lt;/record&gt;&lt;/Cite&gt;&lt;/EndNote&gt;</w:instrText>
      </w:r>
      <w:r w:rsidR="006357E3">
        <w:rPr>
          <w:rFonts w:eastAsiaTheme="minorEastAsia"/>
        </w:rPr>
        <w:fldChar w:fldCharType="separate"/>
      </w:r>
      <w:r w:rsidR="00F02D8A">
        <w:rPr>
          <w:rFonts w:eastAsiaTheme="minorEastAsia"/>
          <w:noProof/>
        </w:rPr>
        <w:t>(22)</w:t>
      </w:r>
      <w:r w:rsidR="006357E3">
        <w:rPr>
          <w:rFonts w:eastAsiaTheme="minorEastAsia"/>
        </w:rPr>
        <w:fldChar w:fldCharType="end"/>
      </w:r>
      <w:r w:rsidR="005A0ED9">
        <w:rPr>
          <w:rFonts w:eastAsiaTheme="minorEastAsia"/>
        </w:rPr>
        <w:t>.</w:t>
      </w:r>
      <w:r w:rsidR="00BC4D3A">
        <w:rPr>
          <w:rFonts w:eastAsiaTheme="minorEastAsia"/>
        </w:rPr>
        <w:t xml:space="preserve"> The cause of this decrease in HCT level is blood loss due to the wounds caused by burn.</w:t>
      </w:r>
    </w:p>
    <w:p w:rsidR="005F3332" w:rsidRDefault="00924872" w:rsidP="00143A65">
      <w:pPr>
        <w:bidi w:val="0"/>
        <w:spacing w:line="360" w:lineRule="auto"/>
        <w:ind w:firstLine="720"/>
        <w:rPr>
          <w:rFonts w:eastAsiaTheme="minorEastAsia"/>
        </w:rPr>
      </w:pPr>
      <w:r w:rsidRPr="008C4589">
        <w:rPr>
          <w:rFonts w:eastAsiaTheme="minorEastAsia"/>
        </w:rPr>
        <w:t xml:space="preserve"> In our study Total WBC count was incr</w:t>
      </w:r>
      <w:r w:rsidR="00F02D8A">
        <w:rPr>
          <w:rFonts w:eastAsiaTheme="minorEastAsia"/>
        </w:rPr>
        <w:t>eased in all three</w:t>
      </w:r>
      <w:r w:rsidRPr="008C4589">
        <w:rPr>
          <w:rFonts w:eastAsiaTheme="minorEastAsia"/>
        </w:rPr>
        <w:t xml:space="preserve"> week</w:t>
      </w:r>
      <w:r w:rsidR="005A0ED9">
        <w:rPr>
          <w:rFonts w:eastAsiaTheme="minorEastAsia"/>
        </w:rPr>
        <w:t>s, this correlates</w:t>
      </w:r>
      <w:r w:rsidR="00F02D8A">
        <w:rPr>
          <w:rFonts w:eastAsiaTheme="minorEastAsia"/>
        </w:rPr>
        <w:t xml:space="preserve"> with the study in Egypt </w:t>
      </w:r>
      <w:r w:rsidR="006357E3">
        <w:rPr>
          <w:rFonts w:eastAsiaTheme="minorEastAsia"/>
        </w:rPr>
        <w:fldChar w:fldCharType="begin"/>
      </w:r>
      <w:r w:rsidR="00F02D8A">
        <w:rPr>
          <w:rFonts w:eastAsiaTheme="minorEastAsia"/>
        </w:rPr>
        <w:instrText xml:space="preserve"> ADDIN EN.CITE &lt;EndNote&gt;&lt;Cite&gt;&lt;Author&gt;Saleh&lt;/Author&gt;&lt;Year&gt;2018&lt;/Year&gt;&lt;RecNum&gt;38&lt;/RecNum&gt;&lt;DisplayText&gt;(22)&lt;/DisplayText&gt;&lt;record&gt;&lt;rec-number&gt;38&lt;/rec-number&gt;&lt;foreign-keys&gt;&lt;key app="EN" db-id="fpxxxaz24vpvwoe50sfxpwvpvx2s0wfs9dse" timestamp="1583153285"&gt;38&lt;/key&gt;&lt;/foreign-keys&gt;&lt;ref-type name="Journal Article"&gt;17&lt;/ref-type&gt;&lt;contributors&gt;&lt;authors&gt;&lt;author&gt;Saleh, Samira M&lt;/author&gt;&lt;/authors&gt;&lt;/contributors&gt;&lt;titles&gt;&lt;title&gt;The effect of moderate and severe burn injuries on human liver, kidney &amp;amp; blood (Biochemical study)&lt;/title&gt;&lt;secondary-title&gt;Zagazig Journal of Forensic Medicine&lt;/secondary-title&gt;&lt;/titles&gt;&lt;periodical&gt;&lt;full-title&gt;Zagazig Journal of Forensic Medicine&lt;/full-title&gt;&lt;/periodical&gt;&lt;pages&gt;91-102&lt;/pages&gt;&lt;volume&gt;16&lt;/volume&gt;&lt;number&gt;1&lt;/number&gt;&lt;dates&gt;&lt;year&gt;2018&lt;/year&gt;&lt;/dates&gt;&lt;isbn&gt;1687-160X&lt;/isbn&gt;&lt;urls&gt;&lt;/urls&gt;&lt;/record&gt;&lt;/Cite&gt;&lt;/EndNote&gt;</w:instrText>
      </w:r>
      <w:r w:rsidR="006357E3">
        <w:rPr>
          <w:rFonts w:eastAsiaTheme="minorEastAsia"/>
        </w:rPr>
        <w:fldChar w:fldCharType="separate"/>
      </w:r>
      <w:r w:rsidR="00F02D8A">
        <w:rPr>
          <w:rFonts w:eastAsiaTheme="minorEastAsia"/>
          <w:noProof/>
        </w:rPr>
        <w:t>(22)</w:t>
      </w:r>
      <w:r w:rsidR="006357E3">
        <w:rPr>
          <w:rFonts w:eastAsiaTheme="minorEastAsia"/>
        </w:rPr>
        <w:fldChar w:fldCharType="end"/>
      </w:r>
      <w:r w:rsidR="00F02D8A">
        <w:rPr>
          <w:rFonts w:eastAsiaTheme="minorEastAsia"/>
        </w:rPr>
        <w:t xml:space="preserve"> that</w:t>
      </w:r>
      <w:r w:rsidRPr="008C4589">
        <w:rPr>
          <w:rFonts w:eastAsiaTheme="minorEastAsia"/>
        </w:rPr>
        <w:t xml:space="preserve"> reported significant leukocytosis from the first day after burn</w:t>
      </w:r>
      <w:r w:rsidR="005A0ED9">
        <w:rPr>
          <w:rFonts w:eastAsiaTheme="minorEastAsia"/>
        </w:rPr>
        <w:t>, also</w:t>
      </w:r>
      <w:r w:rsidRPr="008C4589">
        <w:rPr>
          <w:rFonts w:eastAsiaTheme="minorEastAsia"/>
        </w:rPr>
        <w:t xml:space="preserve"> agree</w:t>
      </w:r>
      <w:r w:rsidR="005A0ED9">
        <w:rPr>
          <w:rFonts w:eastAsiaTheme="minorEastAsia"/>
        </w:rPr>
        <w:t>s</w:t>
      </w:r>
      <w:r w:rsidR="00F02D8A">
        <w:rPr>
          <w:rFonts w:eastAsiaTheme="minorEastAsia"/>
        </w:rPr>
        <w:t xml:space="preserve"> with another study</w:t>
      </w:r>
      <w:r w:rsidRPr="008C4589">
        <w:rPr>
          <w:rFonts w:eastAsiaTheme="minorEastAsia"/>
        </w:rPr>
        <w:t xml:space="preserve"> in </w:t>
      </w:r>
      <w:r w:rsidR="005A0ED9">
        <w:rPr>
          <w:rFonts w:eastAsiaTheme="minorEastAsia"/>
        </w:rPr>
        <w:t xml:space="preserve">Iraq </w:t>
      </w:r>
      <w:r w:rsidR="006357E3">
        <w:rPr>
          <w:rFonts w:eastAsiaTheme="minorEastAsia"/>
        </w:rPr>
        <w:fldChar w:fldCharType="begin"/>
      </w:r>
      <w:r w:rsidR="005A0ED9">
        <w:rPr>
          <w:rFonts w:eastAsiaTheme="minorEastAsia"/>
        </w:rPr>
        <w:instrText xml:space="preserve"> ADDIN EN.CITE &lt;EndNote&gt;&lt;Cite&gt;&lt;Author&gt;Jasem&lt;/Author&gt;&lt;Year&gt;2017&lt;/Year&gt;&lt;RecNum&gt;37&lt;/RecNum&gt;&lt;DisplayText&gt;(21)&lt;/DisplayText&gt;&lt;record&gt;&lt;rec-number&gt;37&lt;/rec-number&gt;&lt;foreign-keys&gt;&lt;key app="EN" db-id="fpxxxaz24vpvwoe50sfxpwvpvx2s0wfs9dse" timestamp="1582823348"&gt;37&lt;/key&gt;&lt;/foreign-keys&gt;&lt;ref-type name="Journal Article"&gt;17&lt;/ref-type&gt;&lt;contributors&gt;&lt;authors&gt;&lt;author&gt;Jasem, Meroj A&lt;/author&gt;&lt;author&gt;Mahmood, Ayser E&lt;/author&gt;&lt;author&gt;AL-Ubadi, Alia E&lt;/author&gt;&lt;author&gt;AL-Bahadli, Abbas&lt;/author&gt;&lt;/authors&gt;&lt;/contributors&gt;&lt;titles&gt;&lt;title&gt;SERUM PROCALCITONIN CONCENTRATION VS. TOTAL AND DIFFERENTIAL WHITE BLOOD CELL COUNT IN IRAQI BURN INJURY PATIENTS&lt;/title&gt;&lt;secondary-title&gt;European Journal of Biomedical&lt;/secondary-title&gt;&lt;/titles&gt;&lt;periodical&gt;&lt;full-title&gt;European Journal of Biomedical&lt;/full-title&gt;&lt;/periodical&gt;&lt;pages&gt;63-68&lt;/pages&gt;&lt;volume&gt;4&lt;/volume&gt;&lt;number&gt;01&lt;/number&gt;&lt;dates&gt;&lt;year&gt;2017&lt;/year&gt;&lt;/dates&gt;&lt;urls&gt;&lt;/urls&gt;&lt;/record&gt;&lt;/Cite&gt;&lt;/EndNote&gt;</w:instrText>
      </w:r>
      <w:r w:rsidR="006357E3">
        <w:rPr>
          <w:rFonts w:eastAsiaTheme="minorEastAsia"/>
        </w:rPr>
        <w:fldChar w:fldCharType="separate"/>
      </w:r>
      <w:r w:rsidR="005A0ED9">
        <w:rPr>
          <w:rFonts w:eastAsiaTheme="minorEastAsia"/>
          <w:noProof/>
        </w:rPr>
        <w:t>(21)</w:t>
      </w:r>
      <w:r w:rsidR="006357E3">
        <w:rPr>
          <w:rFonts w:eastAsiaTheme="minorEastAsia"/>
        </w:rPr>
        <w:fldChar w:fldCharType="end"/>
      </w:r>
      <w:r w:rsidR="00DC379C">
        <w:rPr>
          <w:rFonts w:eastAsiaTheme="minorEastAsia"/>
        </w:rPr>
        <w:t xml:space="preserve"> and Korea </w:t>
      </w:r>
      <w:r w:rsidR="006357E3">
        <w:rPr>
          <w:rFonts w:eastAsiaTheme="minorEastAsia"/>
        </w:rPr>
        <w:fldChar w:fldCharType="begin"/>
      </w:r>
      <w:r w:rsidR="00DC379C">
        <w:rPr>
          <w:rFonts w:eastAsiaTheme="minorEastAsia"/>
        </w:rPr>
        <w:instrText xml:space="preserve"> ADDIN EN.CITE &lt;EndNote&gt;&lt;Cite&gt;&lt;Author&gt;Kim&lt;/Author&gt;&lt;Year&gt;2011&lt;/Year&gt;&lt;RecNum&gt;39&lt;/RecNum&gt;&lt;DisplayText&gt;(23)&lt;/DisplayText&gt;&lt;record&gt;&lt;rec-number&gt;39&lt;/rec-number&gt;&lt;foreign-keys&gt;&lt;key app="EN" db-id="fpxxxaz24vpvwoe50sfxpwvpvx2s0wfs9dse" timestamp="1583154877"&gt;39&lt;/key&gt;&lt;/foreign-keys&gt;&lt;ref-type name="Journal Article"&gt;17&lt;/ref-type&gt;&lt;contributors&gt;&lt;authors&gt;&lt;author&gt;Kim, Hyun Soo&lt;/author&gt;&lt;author&gt;Kwon, Hye Won&lt;/author&gt;&lt;author&gt;Yang, Hyeong Tae&lt;/author&gt;&lt;author&gt;Chun, Wook&lt;/author&gt;&lt;author&gt;Shin, Kyu Sung&lt;/author&gt;&lt;author&gt;Lee, Young Kyung&lt;/author&gt;&lt;author&gt;Park, Ji Young&lt;/author&gt;&lt;author&gt;Cho, Hyoun Chan&lt;/author&gt;&lt;author&gt;Lee, Kyu Man&lt;/author&gt;&lt;/authors&gt;&lt;/contributors&gt;&lt;titles&gt;&lt;title&gt;A Serial Study of Hematologic Change in Burned Patients&lt;/title&gt;&lt;secondary-title&gt;J Lab Med Qual Assur&lt;/secondary-title&gt;&lt;/titles&gt;&lt;periodical&gt;&lt;full-title&gt;J Lab Med Qual Assur&lt;/full-title&gt;&lt;/periodical&gt;&lt;pages&gt;9&lt;/pages&gt;&lt;volume&gt;33&lt;/volume&gt;&lt;number&gt;1&lt;/number&gt;&lt;dates&gt;&lt;year&gt;2011&lt;/year&gt;&lt;/dates&gt;&lt;isbn&gt;1225-097X&lt;/isbn&gt;&lt;urls&gt;&lt;/urls&gt;&lt;/record&gt;&lt;/Cite&gt;&lt;/EndNote&gt;</w:instrText>
      </w:r>
      <w:r w:rsidR="006357E3">
        <w:rPr>
          <w:rFonts w:eastAsiaTheme="minorEastAsia"/>
        </w:rPr>
        <w:fldChar w:fldCharType="separate"/>
      </w:r>
      <w:r w:rsidR="00DC379C">
        <w:rPr>
          <w:rFonts w:eastAsiaTheme="minorEastAsia"/>
          <w:noProof/>
        </w:rPr>
        <w:t>(23)</w:t>
      </w:r>
      <w:r w:rsidR="006357E3">
        <w:rPr>
          <w:rFonts w:eastAsiaTheme="minorEastAsia"/>
        </w:rPr>
        <w:fldChar w:fldCharType="end"/>
      </w:r>
      <w:r w:rsidR="005F3332">
        <w:rPr>
          <w:rFonts w:eastAsiaTheme="minorEastAsia"/>
        </w:rPr>
        <w:t>.</w:t>
      </w:r>
      <w:r w:rsidR="00BC4D3A">
        <w:rPr>
          <w:rFonts w:eastAsiaTheme="minorEastAsia"/>
        </w:rPr>
        <w:t xml:space="preserve"> WBC level dramatically changes post burn injury, due to physiological trauma to the body and infection. According to our results there is no </w:t>
      </w:r>
      <w:r w:rsidR="008D19F5">
        <w:rPr>
          <w:rFonts w:eastAsiaTheme="minorEastAsia"/>
        </w:rPr>
        <w:t xml:space="preserve">statistically significant relation </w:t>
      </w:r>
      <w:r w:rsidR="008D19F5">
        <w:rPr>
          <w:rFonts w:eastAsiaTheme="minorEastAsia"/>
        </w:rPr>
        <w:lastRenderedPageBreak/>
        <w:t>between WBC count and TBSA%, but this result is constant to a studies conducted in Iraq</w:t>
      </w:r>
      <w:r w:rsidR="006357E3">
        <w:rPr>
          <w:rFonts w:eastAsiaTheme="minorEastAsia"/>
        </w:rPr>
        <w:fldChar w:fldCharType="begin"/>
      </w:r>
      <w:r w:rsidR="008D19F5">
        <w:rPr>
          <w:rFonts w:eastAsiaTheme="minorEastAsia"/>
        </w:rPr>
        <w:instrText xml:space="preserve"> ADDIN EN.CITE &lt;EndNote&gt;&lt;Cite&gt;&lt;Author&gt;Jasem&lt;/Author&gt;&lt;Year&gt;2017&lt;/Year&gt;&lt;RecNum&gt;37&lt;/RecNum&gt;&lt;DisplayText&gt;(21)&lt;/DisplayText&gt;&lt;record&gt;&lt;rec-number&gt;37&lt;/rec-number&gt;&lt;foreign-keys&gt;&lt;key app="EN" db-id="fpxxxaz24vpvwoe50sfxpwvpvx2s0wfs9dse" timestamp="1582823348"&gt;37&lt;/key&gt;&lt;/foreign-keys&gt;&lt;ref-type name="Journal Article"&gt;17&lt;/ref-type&gt;&lt;contributors&gt;&lt;authors&gt;&lt;author&gt;Jasem, Meroj A&lt;/author&gt;&lt;author&gt;Mahmood, Ayser E&lt;/author&gt;&lt;author&gt;AL-Ubadi, Alia E&lt;/author&gt;&lt;author&gt;AL-Bahadli, Abbas&lt;/author&gt;&lt;/authors&gt;&lt;/contributors&gt;&lt;titles&gt;&lt;title&gt;SERUM PROCALCITONIN CONCENTRATION VS. TOTAL AND DIFFERENTIAL WHITE BLOOD CELL COUNT IN IRAQI BURN INJURY PATIENTS&lt;/title&gt;&lt;secondary-title&gt;European Journal of Biomedical&lt;/secondary-title&gt;&lt;/titles&gt;&lt;periodical&gt;&lt;full-title&gt;European Journal of Biomedical&lt;/full-title&gt;&lt;/periodical&gt;&lt;pages&gt;63-68&lt;/pages&gt;&lt;volume&gt;4&lt;/volume&gt;&lt;number&gt;01&lt;/number&gt;&lt;dates&gt;&lt;year&gt;2017&lt;/year&gt;&lt;/dates&gt;&lt;urls&gt;&lt;/urls&gt;&lt;/record&gt;&lt;/Cite&gt;&lt;/EndNote&gt;</w:instrText>
      </w:r>
      <w:r w:rsidR="006357E3">
        <w:rPr>
          <w:rFonts w:eastAsiaTheme="minorEastAsia"/>
        </w:rPr>
        <w:fldChar w:fldCharType="separate"/>
      </w:r>
      <w:r w:rsidR="008D19F5">
        <w:rPr>
          <w:rFonts w:eastAsiaTheme="minorEastAsia"/>
          <w:noProof/>
        </w:rPr>
        <w:t>(21)</w:t>
      </w:r>
      <w:r w:rsidR="006357E3">
        <w:rPr>
          <w:rFonts w:eastAsiaTheme="minorEastAsia"/>
        </w:rPr>
        <w:fldChar w:fldCharType="end"/>
      </w:r>
      <w:r w:rsidR="008D19F5">
        <w:rPr>
          <w:rFonts w:eastAsiaTheme="minorEastAsia"/>
        </w:rPr>
        <w:t xml:space="preserve"> and Korea</w:t>
      </w:r>
      <w:r w:rsidR="006357E3">
        <w:rPr>
          <w:rFonts w:eastAsiaTheme="minorEastAsia"/>
        </w:rPr>
        <w:fldChar w:fldCharType="begin"/>
      </w:r>
      <w:r w:rsidR="008D19F5">
        <w:rPr>
          <w:rFonts w:eastAsiaTheme="minorEastAsia"/>
        </w:rPr>
        <w:instrText xml:space="preserve"> ADDIN EN.CITE &lt;EndNote&gt;&lt;Cite&gt;&lt;Author&gt;Kim&lt;/Author&gt;&lt;Year&gt;2011&lt;/Year&gt;&lt;RecNum&gt;39&lt;/RecNum&gt;&lt;DisplayText&gt;(23)&lt;/DisplayText&gt;&lt;record&gt;&lt;rec-number&gt;39&lt;/rec-number&gt;&lt;foreign-keys&gt;&lt;key app="EN" db-id="fpxxxaz24vpvwoe50sfxpwvpvx2s0wfs9dse" timestamp="1583154877"&gt;39&lt;/key&gt;&lt;/foreign-keys&gt;&lt;ref-type name="Journal Article"&gt;17&lt;/ref-type&gt;&lt;contributors&gt;&lt;authors&gt;&lt;author&gt;Kim, Hyun Soo&lt;/author&gt;&lt;author&gt;Kwon, Hye Won&lt;/author&gt;&lt;author&gt;Yang, Hyeong Tae&lt;/author&gt;&lt;author&gt;Chun, Wook&lt;/author&gt;&lt;author&gt;Shin, Kyu Sung&lt;/author&gt;&lt;author&gt;Lee, Young Kyung&lt;/author&gt;&lt;author&gt;Park, Ji Young&lt;/author&gt;&lt;author&gt;Cho, Hyoun Chan&lt;/author&gt;&lt;author&gt;Lee, Kyu Man&lt;/author&gt;&lt;/authors&gt;&lt;/contributors&gt;&lt;titles&gt;&lt;title&gt;A Serial Study of Hematologic Change in Burned Patients&lt;/title&gt;&lt;secondary-title&gt;J Lab Med Qual Assur&lt;/secondary-title&gt;&lt;/titles&gt;&lt;periodical&gt;&lt;full-title&gt;J Lab Med Qual Assur&lt;/full-title&gt;&lt;/periodical&gt;&lt;pages&gt;9&lt;/pages&gt;&lt;volume&gt;33&lt;/volume&gt;&lt;number&gt;1&lt;/number&gt;&lt;dates&gt;&lt;year&gt;2011&lt;/year&gt;&lt;/dates&gt;&lt;isbn&gt;1225-097X&lt;/isbn&gt;&lt;urls&gt;&lt;/urls&gt;&lt;/record&gt;&lt;/Cite&gt;&lt;/EndNote&gt;</w:instrText>
      </w:r>
      <w:r w:rsidR="006357E3">
        <w:rPr>
          <w:rFonts w:eastAsiaTheme="minorEastAsia"/>
        </w:rPr>
        <w:fldChar w:fldCharType="separate"/>
      </w:r>
      <w:r w:rsidR="008D19F5">
        <w:rPr>
          <w:rFonts w:eastAsiaTheme="minorEastAsia"/>
          <w:noProof/>
        </w:rPr>
        <w:t>(23)</w:t>
      </w:r>
      <w:r w:rsidR="006357E3">
        <w:rPr>
          <w:rFonts w:eastAsiaTheme="minorEastAsia"/>
        </w:rPr>
        <w:fldChar w:fldCharType="end"/>
      </w:r>
      <w:r w:rsidR="008D19F5">
        <w:rPr>
          <w:rFonts w:eastAsiaTheme="minorEastAsia"/>
        </w:rPr>
        <w:t>.</w:t>
      </w:r>
    </w:p>
    <w:p w:rsidR="00924872" w:rsidRPr="008C4589" w:rsidRDefault="00924872" w:rsidP="00F53753">
      <w:pPr>
        <w:bidi w:val="0"/>
        <w:spacing w:line="360" w:lineRule="auto"/>
        <w:rPr>
          <w:rFonts w:eastAsiaTheme="minorEastAsia"/>
        </w:rPr>
      </w:pPr>
      <w:r w:rsidRPr="008C4589">
        <w:rPr>
          <w:rFonts w:eastAsiaTheme="minorEastAsia"/>
        </w:rPr>
        <w:t xml:space="preserve"> Platelet count levels</w:t>
      </w:r>
      <w:r w:rsidR="005F3332">
        <w:rPr>
          <w:rFonts w:eastAsiaTheme="minorEastAsia"/>
        </w:rPr>
        <w:t xml:space="preserve"> showed a </w:t>
      </w:r>
      <w:r w:rsidRPr="008C4589">
        <w:rPr>
          <w:rFonts w:eastAsiaTheme="minorEastAsia"/>
        </w:rPr>
        <w:t xml:space="preserve"> decreased</w:t>
      </w:r>
      <w:r w:rsidR="005F3332">
        <w:rPr>
          <w:rFonts w:eastAsiaTheme="minorEastAsia"/>
        </w:rPr>
        <w:t xml:space="preserve"> level</w:t>
      </w:r>
      <w:r w:rsidRPr="008C4589">
        <w:rPr>
          <w:rFonts w:eastAsiaTheme="minorEastAsia"/>
        </w:rPr>
        <w:t xml:space="preserve"> during the first week, and then incre</w:t>
      </w:r>
      <w:r w:rsidR="00AA33EB">
        <w:rPr>
          <w:rFonts w:eastAsiaTheme="minorEastAsia"/>
        </w:rPr>
        <w:t>ased in second and third week,</w:t>
      </w:r>
      <w:r w:rsidR="005F3332">
        <w:rPr>
          <w:rFonts w:eastAsiaTheme="minorEastAsia"/>
        </w:rPr>
        <w:t xml:space="preserve"> but </w:t>
      </w:r>
      <w:r w:rsidR="00303F71">
        <w:rPr>
          <w:rFonts w:eastAsiaTheme="minorEastAsia"/>
        </w:rPr>
        <w:t>still</w:t>
      </w:r>
      <w:r w:rsidR="005F3332">
        <w:rPr>
          <w:rFonts w:eastAsiaTheme="minorEastAsia"/>
        </w:rPr>
        <w:t xml:space="preserve"> stayed at normal range in all three weeks,</w:t>
      </w:r>
      <w:r w:rsidR="00AA33EB">
        <w:rPr>
          <w:rFonts w:eastAsiaTheme="minorEastAsia"/>
        </w:rPr>
        <w:t xml:space="preserve"> t</w:t>
      </w:r>
      <w:r w:rsidR="005F3332">
        <w:rPr>
          <w:rFonts w:eastAsiaTheme="minorEastAsia"/>
        </w:rPr>
        <w:t>his result is contrast</w:t>
      </w:r>
      <w:r w:rsidR="00AA33EB">
        <w:rPr>
          <w:rFonts w:eastAsiaTheme="minorEastAsia"/>
        </w:rPr>
        <w:t xml:space="preserve"> with</w:t>
      </w:r>
      <w:r w:rsidR="00303F71">
        <w:rPr>
          <w:rFonts w:eastAsiaTheme="minorEastAsia"/>
        </w:rPr>
        <w:t xml:space="preserve"> a study in Egypt </w:t>
      </w:r>
      <w:r w:rsidR="006357E3">
        <w:rPr>
          <w:rFonts w:eastAsiaTheme="minorEastAsia"/>
        </w:rPr>
        <w:fldChar w:fldCharType="begin"/>
      </w:r>
      <w:r w:rsidR="00303F71">
        <w:rPr>
          <w:rFonts w:eastAsiaTheme="minorEastAsia"/>
        </w:rPr>
        <w:instrText xml:space="preserve"> ADDIN EN.CITE &lt;EndNote&gt;&lt;Cite&gt;&lt;Author&gt;Saleh&lt;/Author&gt;&lt;Year&gt;2018&lt;/Year&gt;&lt;RecNum&gt;38&lt;/RecNum&gt;&lt;DisplayText&gt;(22)&lt;/DisplayText&gt;&lt;record&gt;&lt;rec-number&gt;38&lt;/rec-number&gt;&lt;foreign-keys&gt;&lt;key app="EN" db-id="fpxxxaz24vpvwoe50sfxpwvpvx2s0wfs9dse" timestamp="1583153285"&gt;38&lt;/key&gt;&lt;/foreign-keys&gt;&lt;ref-type name="Journal Article"&gt;17&lt;/ref-type&gt;&lt;contributors&gt;&lt;authors&gt;&lt;author&gt;Saleh, Samira M&lt;/author&gt;&lt;/authors&gt;&lt;/contributors&gt;&lt;titles&gt;&lt;title&gt;The effect of moderate and severe burn injuries on human liver, kidney &amp;amp; blood (Biochemical study)&lt;/title&gt;&lt;secondary-title&gt;Zagazig Journal of Forensic Medicine&lt;/secondary-title&gt;&lt;/titles&gt;&lt;periodical&gt;&lt;full-title&gt;Zagazig Journal of Forensic Medicine&lt;/full-title&gt;&lt;/periodical&gt;&lt;pages&gt;91-102&lt;/pages&gt;&lt;volume&gt;16&lt;/volume&gt;&lt;number&gt;1&lt;/number&gt;&lt;dates&gt;&lt;year&gt;2018&lt;/year&gt;&lt;/dates&gt;&lt;isbn&gt;1687-160X&lt;/isbn&gt;&lt;urls&gt;&lt;/urls&gt;&lt;/record&gt;&lt;/Cite&gt;&lt;/EndNote&gt;</w:instrText>
      </w:r>
      <w:r w:rsidR="006357E3">
        <w:rPr>
          <w:rFonts w:eastAsiaTheme="minorEastAsia"/>
        </w:rPr>
        <w:fldChar w:fldCharType="separate"/>
      </w:r>
      <w:r w:rsidR="00303F71">
        <w:rPr>
          <w:rFonts w:eastAsiaTheme="minorEastAsia"/>
          <w:noProof/>
        </w:rPr>
        <w:t>(22)</w:t>
      </w:r>
      <w:r w:rsidR="006357E3">
        <w:rPr>
          <w:rFonts w:eastAsiaTheme="minorEastAsia"/>
        </w:rPr>
        <w:fldChar w:fldCharType="end"/>
      </w:r>
      <w:r w:rsidR="00303F71">
        <w:rPr>
          <w:rFonts w:eastAsiaTheme="minorEastAsia"/>
        </w:rPr>
        <w:t xml:space="preserve"> and a study in Korea </w:t>
      </w:r>
      <w:r w:rsidR="006357E3">
        <w:rPr>
          <w:rFonts w:eastAsiaTheme="minorEastAsia"/>
        </w:rPr>
        <w:fldChar w:fldCharType="begin"/>
      </w:r>
      <w:r w:rsidR="00303F71">
        <w:rPr>
          <w:rFonts w:eastAsiaTheme="minorEastAsia"/>
        </w:rPr>
        <w:instrText xml:space="preserve"> ADDIN EN.CITE &lt;EndNote&gt;&lt;Cite&gt;&lt;Author&gt;Kim&lt;/Author&gt;&lt;Year&gt;2011&lt;/Year&gt;&lt;RecNum&gt;39&lt;/RecNum&gt;&lt;DisplayText&gt;(23)&lt;/DisplayText&gt;&lt;record&gt;&lt;rec-number&gt;39&lt;/rec-number&gt;&lt;foreign-keys&gt;&lt;key app="EN" db-id="fpxxxaz24vpvwoe50sfxpwvpvx2s0wfs9dse" timestamp="1583154877"&gt;39&lt;/key&gt;&lt;/foreign-keys&gt;&lt;ref-type name="Journal Article"&gt;17&lt;/ref-type&gt;&lt;contributors&gt;&lt;authors&gt;&lt;author&gt;Kim, Hyun Soo&lt;/author&gt;&lt;author&gt;Kwon, Hye Won&lt;/author&gt;&lt;author&gt;Yang, Hyeong Tae&lt;/author&gt;&lt;author&gt;Chun, Wook&lt;/author&gt;&lt;author&gt;Shin, Kyu Sung&lt;/author&gt;&lt;author&gt;Lee, Young Kyung&lt;/author&gt;&lt;author&gt;Park, Ji Young&lt;/author&gt;&lt;author&gt;Cho, Hyoun Chan&lt;/author&gt;&lt;author&gt;Lee, Kyu Man&lt;/author&gt;&lt;/authors&gt;&lt;/contributors&gt;&lt;titles&gt;&lt;title&gt;A Serial Study of Hematologic Change in Burned Patients&lt;/title&gt;&lt;secondary-title&gt;J Lab Med Qual Assur&lt;/secondary-title&gt;&lt;/titles&gt;&lt;periodical&gt;&lt;full-title&gt;J Lab Med Qual Assur&lt;/full-title&gt;&lt;/periodical&gt;&lt;pages&gt;9&lt;/pages&gt;&lt;volume&gt;33&lt;/volume&gt;&lt;number&gt;1&lt;/number&gt;&lt;dates&gt;&lt;year&gt;2011&lt;/year&gt;&lt;/dates&gt;&lt;isbn&gt;1225-097X&lt;/isbn&gt;&lt;urls&gt;&lt;/urls&gt;&lt;/record&gt;&lt;/Cite&gt;&lt;/EndNote&gt;</w:instrText>
      </w:r>
      <w:r w:rsidR="006357E3">
        <w:rPr>
          <w:rFonts w:eastAsiaTheme="minorEastAsia"/>
        </w:rPr>
        <w:fldChar w:fldCharType="separate"/>
      </w:r>
      <w:r w:rsidR="00303F71">
        <w:rPr>
          <w:rFonts w:eastAsiaTheme="minorEastAsia"/>
          <w:noProof/>
        </w:rPr>
        <w:t>(23)</w:t>
      </w:r>
      <w:r w:rsidR="006357E3">
        <w:rPr>
          <w:rFonts w:eastAsiaTheme="minorEastAsia"/>
        </w:rPr>
        <w:fldChar w:fldCharType="end"/>
      </w:r>
      <w:r w:rsidR="00303F71">
        <w:rPr>
          <w:rFonts w:eastAsiaTheme="minorEastAsia"/>
        </w:rPr>
        <w:t xml:space="preserve">. </w:t>
      </w:r>
    </w:p>
    <w:p w:rsidR="00924872" w:rsidRPr="008C4589" w:rsidRDefault="00924872" w:rsidP="00143A65">
      <w:pPr>
        <w:bidi w:val="0"/>
        <w:spacing w:line="360" w:lineRule="auto"/>
        <w:ind w:firstLine="720"/>
        <w:rPr>
          <w:rFonts w:eastAsiaTheme="minorEastAsia"/>
        </w:rPr>
      </w:pPr>
      <w:r w:rsidRPr="008C4589">
        <w:rPr>
          <w:rFonts w:eastAsiaTheme="minorEastAsia"/>
        </w:rPr>
        <w:t>In our study the results showed that B.urea levels we</w:t>
      </w:r>
      <w:r w:rsidR="00136479">
        <w:rPr>
          <w:rFonts w:eastAsiaTheme="minorEastAsia"/>
        </w:rPr>
        <w:t>re increased, a</w:t>
      </w:r>
      <w:r w:rsidRPr="008C4589">
        <w:rPr>
          <w:rFonts w:eastAsiaTheme="minorEastAsia"/>
        </w:rPr>
        <w:t xml:space="preserve">nd Serum creatinine </w:t>
      </w:r>
      <w:r w:rsidR="00136479">
        <w:rPr>
          <w:rFonts w:eastAsiaTheme="minorEastAsia"/>
        </w:rPr>
        <w:t>level was normal,</w:t>
      </w:r>
      <w:r w:rsidR="006E12FD">
        <w:rPr>
          <w:rFonts w:eastAsiaTheme="minorEastAsia"/>
        </w:rPr>
        <w:t xml:space="preserve"> a study in </w:t>
      </w:r>
      <w:r w:rsidRPr="008C4589">
        <w:rPr>
          <w:rFonts w:eastAsiaTheme="minorEastAsia"/>
        </w:rPr>
        <w:t xml:space="preserve">Egypt that reported that </w:t>
      </w:r>
      <w:r w:rsidR="006E12FD">
        <w:rPr>
          <w:rFonts w:eastAsiaTheme="minorEastAsia"/>
        </w:rPr>
        <w:t xml:space="preserve">B urea level was increased which stays </w:t>
      </w:r>
      <w:r w:rsidR="00200AC2">
        <w:rPr>
          <w:rFonts w:eastAsiaTheme="minorEastAsia"/>
        </w:rPr>
        <w:t>a</w:t>
      </w:r>
      <w:r w:rsidR="006E12FD">
        <w:rPr>
          <w:rFonts w:eastAsiaTheme="minorEastAsia"/>
        </w:rPr>
        <w:t>line with our result, but the level of Creatinine was also increased in their study, which is contrast with our result of serum creatinine</w:t>
      </w:r>
      <w:r w:rsidR="006357E3" w:rsidRPr="008C4589">
        <w:rPr>
          <w:rFonts w:eastAsiaTheme="minorEastAsia"/>
        </w:rPr>
        <w:fldChar w:fldCharType="begin"/>
      </w:r>
      <w:r w:rsidRPr="008C4589">
        <w:rPr>
          <w:rFonts w:eastAsiaTheme="minorEastAsia"/>
        </w:rPr>
        <w:instrText xml:space="preserve"> ADDIN EN.CITE &lt;EndNote&gt;&lt;Cite&gt;&lt;Author&gt;Saleh&lt;/Author&gt;&lt;Year&gt;2018&lt;/Year&gt;&lt;RecNum&gt;38&lt;/RecNum&gt;&lt;DisplayText&gt;(22)&lt;/DisplayText&gt;&lt;record&gt;&lt;rec-number&gt;38&lt;/rec-number&gt;&lt;foreign-keys&gt;&lt;key app="EN" db-id="fpxxxaz24vpvwoe50sfxpwvpvx2s0wfs9dse" timestamp="1583153285"&gt;38&lt;/key&gt;&lt;/foreign-keys&gt;&lt;ref-type name="Journal Article"&gt;17&lt;/ref-type&gt;&lt;contributors&gt;&lt;authors&gt;&lt;author&gt;Saleh, Samira M&lt;/author&gt;&lt;/authors&gt;&lt;/contributors&gt;&lt;titles&gt;&lt;title&gt;The effect of moderate and severe burn injuries on human liver, kidney &amp;amp; blood (Biochemical study)&lt;/title&gt;&lt;secondary-title&gt;Zagazig Journal of Forensic Medicine&lt;/secondary-title&gt;&lt;/titles&gt;&lt;periodical&gt;&lt;full-title&gt;Zagazig Journal of Forensic Medicine&lt;/full-title&gt;&lt;/periodical&gt;&lt;pages&gt;91-102&lt;/pages&gt;&lt;volume&gt;16&lt;/volume&gt;&lt;number&gt;1&lt;/number&gt;&lt;dates&gt;&lt;year&gt;2018&lt;/year&gt;&lt;/dates&gt;&lt;isbn&gt;1687-160X&lt;/isbn&gt;&lt;urls&gt;&lt;/urls&gt;&lt;/record&gt;&lt;/Cite&gt;&lt;/EndNote&gt;</w:instrText>
      </w:r>
      <w:r w:rsidR="006357E3" w:rsidRPr="008C4589">
        <w:rPr>
          <w:rFonts w:eastAsiaTheme="minorEastAsia"/>
        </w:rPr>
        <w:fldChar w:fldCharType="separate"/>
      </w:r>
      <w:r w:rsidRPr="008C4589">
        <w:rPr>
          <w:rFonts w:eastAsiaTheme="minorEastAsia"/>
          <w:noProof/>
        </w:rPr>
        <w:t>(22)</w:t>
      </w:r>
      <w:r w:rsidR="006357E3" w:rsidRPr="008C4589">
        <w:rPr>
          <w:rFonts w:eastAsiaTheme="minorEastAsia"/>
        </w:rPr>
        <w:fldChar w:fldCharType="end"/>
      </w:r>
      <w:r w:rsidR="006E12FD">
        <w:rPr>
          <w:rFonts w:eastAsiaTheme="minorEastAsia"/>
        </w:rPr>
        <w:t>.</w:t>
      </w:r>
    </w:p>
    <w:p w:rsidR="004E17DA" w:rsidRDefault="00136479" w:rsidP="00143A65">
      <w:pPr>
        <w:bidi w:val="0"/>
        <w:spacing w:line="360" w:lineRule="auto"/>
        <w:ind w:firstLine="720"/>
        <w:rPr>
          <w:rFonts w:eastAsiaTheme="minorEastAsia"/>
        </w:rPr>
      </w:pPr>
      <w:r>
        <w:rPr>
          <w:rFonts w:eastAsiaTheme="minorEastAsia"/>
        </w:rPr>
        <w:t>Results of total</w:t>
      </w:r>
      <w:r w:rsidR="00924872" w:rsidRPr="008C4589">
        <w:rPr>
          <w:rFonts w:eastAsiaTheme="minorEastAsia"/>
        </w:rPr>
        <w:t xml:space="preserve"> serum p</w:t>
      </w:r>
      <w:r>
        <w:rPr>
          <w:rFonts w:eastAsiaTheme="minorEastAsia"/>
        </w:rPr>
        <w:t>rotein and serum albumins were decreased; this correlates with a study conducted in Hilla</w:t>
      </w:r>
      <w:r w:rsidR="006357E3">
        <w:rPr>
          <w:rFonts w:eastAsiaTheme="minorEastAsia"/>
        </w:rPr>
        <w:fldChar w:fldCharType="begin"/>
      </w:r>
      <w:r w:rsidR="006E12FD">
        <w:rPr>
          <w:rFonts w:eastAsiaTheme="minorEastAsia"/>
        </w:rPr>
        <w:instrText xml:space="preserve"> ADDIN EN.CITE &lt;EndNote&gt;&lt;Cite&gt;&lt;Author&gt;Al-Muhammadi&lt;/Author&gt;&lt;Year&gt;2011&lt;/Year&gt;&lt;RecNum&gt;66&lt;/RecNum&gt;&lt;DisplayText&gt;(24)&lt;/DisplayText&gt;&lt;record&gt;&lt;rec-number&gt;66&lt;/rec-number&gt;&lt;foreign-keys&gt;&lt;key app="EN" db-id="fpxxxaz24vpvwoe50sfxpwvpvx2s0wfs9dse" timestamp="1585255369"&gt;66&lt;/key&gt;&lt;/foreign-keys&gt;&lt;ref-type name="Journal Article"&gt;17&lt;/ref-type&gt;&lt;contributors&gt;&lt;authors&gt;&lt;author&gt;Al-Muhammadi, Muhammad Obaid&lt;/author&gt;&lt;author&gt;Azeez, Hayder Abdulhussein&lt;/author&gt;&lt;/authors&gt;&lt;/contributors&gt;&lt;titles&gt;&lt;title&gt;Some physiological changes in burn patients&lt;/title&gt;&lt;secondary-title&gt;Medical Journal of Babylon&lt;/secondary-title&gt;&lt;/titles&gt;&lt;periodical&gt;&lt;full-title&gt;Medical Journal of Babylon&lt;/full-title&gt;&lt;/periodical&gt;&lt;pages&gt;303-319&lt;/pages&gt;&lt;volume&gt;8&lt;/volume&gt;&lt;number&gt;3&lt;/number&gt;&lt;dates&gt;&lt;year&gt;2011&lt;/year&gt;&lt;/dates&gt;&lt;isbn&gt;1812-156X&lt;/isbn&gt;&lt;urls&gt;&lt;/urls&gt;&lt;/record&gt;&lt;/Cite&gt;&lt;/EndNote&gt;</w:instrText>
      </w:r>
      <w:r w:rsidR="006357E3">
        <w:rPr>
          <w:rFonts w:eastAsiaTheme="minorEastAsia"/>
        </w:rPr>
        <w:fldChar w:fldCharType="separate"/>
      </w:r>
      <w:r w:rsidR="006E12FD">
        <w:rPr>
          <w:rFonts w:eastAsiaTheme="minorEastAsia"/>
          <w:noProof/>
        </w:rPr>
        <w:t>(24)</w:t>
      </w:r>
      <w:r w:rsidR="006357E3">
        <w:rPr>
          <w:rFonts w:eastAsiaTheme="minorEastAsia"/>
        </w:rPr>
        <w:fldChar w:fldCharType="end"/>
      </w:r>
      <w:r w:rsidR="004E17DA">
        <w:rPr>
          <w:rFonts w:eastAsiaTheme="minorEastAsia"/>
        </w:rPr>
        <w:t xml:space="preserve"> and another one</w:t>
      </w:r>
      <w:r w:rsidR="004B161F">
        <w:rPr>
          <w:rFonts w:eastAsiaTheme="minorEastAsia"/>
        </w:rPr>
        <w:t xml:space="preserve"> in Germany</w:t>
      </w:r>
      <w:r w:rsidR="006357E3">
        <w:rPr>
          <w:rFonts w:eastAsiaTheme="minorEastAsia"/>
        </w:rPr>
        <w:fldChar w:fldCharType="begin"/>
      </w:r>
      <w:r w:rsidR="00AE5A33">
        <w:rPr>
          <w:rFonts w:eastAsiaTheme="minorEastAsia"/>
        </w:rPr>
        <w:instrText xml:space="preserve"> ADDIN EN.CITE &lt;EndNote&gt;&lt;Cite&gt;&lt;Author&gt;Lehnhardt&lt;/Author&gt;&lt;Year&gt;2005&lt;/Year&gt;&lt;RecNum&gt;84&lt;/RecNum&gt;&lt;DisplayText&gt;(45)&lt;/DisplayText&gt;&lt;record&gt;&lt;rec-number&gt;84&lt;/rec-number&gt;&lt;foreign-keys&gt;&lt;key app="EN" db-id="fpxxxaz24vpvwoe50sfxpwvpvx2s0wfs9dse" timestamp="1586092358"&gt;84&lt;/key&gt;&lt;/foreign-keys&gt;&lt;ref-type name="Journal Article"&gt;17&lt;/ref-type&gt;&lt;contributors&gt;&lt;authors&gt;&lt;author&gt;Lehnhardt, M&lt;/author&gt;&lt;author&gt;Jafari, H Joneidi&lt;/author&gt;&lt;author&gt;Druecke, D&lt;/author&gt;&lt;author&gt;Steinstraesser, L&lt;/author&gt;&lt;author&gt;Steinau, HU&lt;/author&gt;&lt;author&gt;Klatte, W&lt;/author&gt;&lt;author&gt;Schwake, R&lt;/author&gt;&lt;author&gt;Homann, HH&lt;/author&gt;&lt;/authors&gt;&lt;/contributors&gt;&lt;titles&gt;&lt;title&gt;A qualitative and quantitative analysis of protein loss in human burn wounds&lt;/title&gt;&lt;secondary-title&gt;Burns&lt;/secondary-title&gt;&lt;/titles&gt;&lt;periodical&gt;&lt;full-title&gt;Burns&lt;/full-title&gt;&lt;/periodical&gt;&lt;pages&gt;159-167&lt;/pages&gt;&lt;volume&gt;31&lt;/volume&gt;&lt;number&gt;2&lt;/number&gt;&lt;dates&gt;&lt;year&gt;2005&lt;/year&gt;&lt;/dates&gt;&lt;isbn&gt;0305-4179&lt;/isbn&gt;&lt;urls&gt;&lt;/urls&gt;&lt;/record&gt;&lt;/Cite&gt;&lt;/EndNote&gt;</w:instrText>
      </w:r>
      <w:r w:rsidR="006357E3">
        <w:rPr>
          <w:rFonts w:eastAsiaTheme="minorEastAsia"/>
        </w:rPr>
        <w:fldChar w:fldCharType="separate"/>
      </w:r>
      <w:r w:rsidR="00AE5A33">
        <w:rPr>
          <w:rFonts w:eastAsiaTheme="minorEastAsia"/>
          <w:noProof/>
        </w:rPr>
        <w:t>(45)</w:t>
      </w:r>
      <w:r w:rsidR="006357E3">
        <w:rPr>
          <w:rFonts w:eastAsiaTheme="minorEastAsia"/>
        </w:rPr>
        <w:fldChar w:fldCharType="end"/>
      </w:r>
      <w:r w:rsidR="004B161F">
        <w:rPr>
          <w:rFonts w:eastAsiaTheme="minorEastAsia"/>
        </w:rPr>
        <w:t>.</w:t>
      </w:r>
    </w:p>
    <w:p w:rsidR="002B5D5B" w:rsidRDefault="002B5D5B" w:rsidP="002B5D5B">
      <w:pPr>
        <w:bidi w:val="0"/>
        <w:spacing w:line="360" w:lineRule="auto"/>
        <w:ind w:firstLine="720"/>
        <w:rPr>
          <w:rFonts w:eastAsiaTheme="minorEastAsia"/>
        </w:rPr>
      </w:pPr>
    </w:p>
    <w:p w:rsidR="00200AC2" w:rsidRDefault="002B5D5B" w:rsidP="002B5D5B">
      <w:pPr>
        <w:bidi w:val="0"/>
        <w:spacing w:line="360" w:lineRule="auto"/>
        <w:ind w:firstLine="720"/>
        <w:rPr>
          <w:rFonts w:asciiTheme="majorBidi" w:hAnsiTheme="majorBidi" w:cstheme="majorBidi"/>
        </w:rPr>
      </w:pPr>
      <w:r>
        <w:rPr>
          <w:rFonts w:eastAsiaTheme="minorEastAsia"/>
        </w:rPr>
        <w:t xml:space="preserve">According to the results of our </w:t>
      </w:r>
      <w:r w:rsidR="00200AC2" w:rsidRPr="00282D55">
        <w:rPr>
          <w:rFonts w:asciiTheme="majorBidi" w:hAnsiTheme="majorBidi" w:cstheme="majorBidi"/>
        </w:rPr>
        <w:t xml:space="preserve"> total of 100 patients, 11 of them have died, and 89 of them survived</w:t>
      </w:r>
      <w:r w:rsidR="00200AC2">
        <w:rPr>
          <w:rFonts w:asciiTheme="majorBidi" w:hAnsiTheme="majorBidi" w:cstheme="majorBidi"/>
        </w:rPr>
        <w:t xml:space="preserve">, which is a low rate of mortality, this result correlates with a study in </w:t>
      </w:r>
      <w:r w:rsidR="009216BF">
        <w:rPr>
          <w:rFonts w:asciiTheme="majorBidi" w:hAnsiTheme="majorBidi" w:cstheme="majorBidi"/>
        </w:rPr>
        <w:t xml:space="preserve">Basra City </w:t>
      </w:r>
      <w:r w:rsidR="006357E3">
        <w:rPr>
          <w:rFonts w:asciiTheme="majorBidi" w:hAnsiTheme="majorBidi" w:cstheme="majorBidi"/>
        </w:rPr>
        <w:fldChar w:fldCharType="begin"/>
      </w:r>
      <w:r w:rsidR="009216BF">
        <w:rPr>
          <w:rFonts w:asciiTheme="majorBidi" w:hAnsiTheme="majorBidi" w:cstheme="majorBidi"/>
        </w:rPr>
        <w:instrText xml:space="preserve"> ADDIN EN.CITE &lt;EndNote&gt;&lt;Cite&gt;&lt;Author&gt;Al-Shamsi&lt;/Author&gt;&lt;Year&gt;2017&lt;/Year&gt;&lt;RecNum&gt;85&lt;/RecNum&gt;&lt;DisplayText&gt;(40)&lt;/DisplayText&gt;&lt;record&gt;&lt;rec-number&gt;85&lt;/rec-number&gt;&lt;foreign-keys&gt;&lt;key app="EN" db-id="fpxxxaz24vpvwoe50sfxpwvpvx2s0wfs9dse" timestamp="1586093042"&gt;85&lt;/key&gt;&lt;/foreign-keys&gt;&lt;ref-type name="Journal Article"&gt;17&lt;/ref-type&gt;&lt;contributors&gt;&lt;authors&gt;&lt;author&gt;Al-Shamsi, M&lt;/author&gt;&lt;author&gt;Othman, N&lt;/author&gt;&lt;/authors&gt;&lt;/contributors&gt;&lt;titles&gt;&lt;title&gt;The epidemiology of burns in Basra, Iraq&lt;/title&gt;&lt;secondary-title&gt;Annals of burns and fire disasters&lt;/secondary-title&gt;&lt;/titles&gt;&lt;periodical&gt;&lt;full-title&gt;Annals of burns and fire disasters&lt;/full-title&gt;&lt;/periodical&gt;&lt;pages&gt;167&lt;/pages&gt;&lt;volume&gt;30&lt;/volume&gt;&lt;number&gt;3&lt;/number&gt;&lt;dates&gt;&lt;year&gt;2017&lt;/year&gt;&lt;/dates&gt;&lt;urls&gt;&lt;/urls&gt;&lt;/record&gt;&lt;/Cite&gt;&lt;/EndNote&gt;</w:instrText>
      </w:r>
      <w:r w:rsidR="006357E3">
        <w:rPr>
          <w:rFonts w:asciiTheme="majorBidi" w:hAnsiTheme="majorBidi" w:cstheme="majorBidi"/>
        </w:rPr>
        <w:fldChar w:fldCharType="separate"/>
      </w:r>
      <w:r w:rsidR="009216BF">
        <w:rPr>
          <w:rFonts w:asciiTheme="majorBidi" w:hAnsiTheme="majorBidi" w:cstheme="majorBidi"/>
          <w:noProof/>
        </w:rPr>
        <w:t>(40)</w:t>
      </w:r>
      <w:r w:rsidR="006357E3">
        <w:rPr>
          <w:rFonts w:asciiTheme="majorBidi" w:hAnsiTheme="majorBidi" w:cstheme="majorBidi"/>
        </w:rPr>
        <w:fldChar w:fldCharType="end"/>
      </w:r>
      <w:r w:rsidR="009216BF">
        <w:rPr>
          <w:rFonts w:asciiTheme="majorBidi" w:hAnsiTheme="majorBidi" w:cstheme="majorBidi"/>
        </w:rPr>
        <w:t>.</w:t>
      </w:r>
      <w:r w:rsidR="00C63FBB">
        <w:rPr>
          <w:rFonts w:asciiTheme="majorBidi" w:hAnsiTheme="majorBidi" w:cstheme="majorBidi"/>
        </w:rPr>
        <w:t xml:space="preserve"> One of the causes that has effect on increasing mortality rate is TBSA%,</w:t>
      </w:r>
      <w:r w:rsidR="0025057B">
        <w:rPr>
          <w:rFonts w:asciiTheme="majorBidi" w:hAnsiTheme="majorBidi" w:cstheme="majorBidi"/>
        </w:rPr>
        <w:t xml:space="preserve"> according to our resultsthe higher the TBSA%, the higher the mortality rate, this relates with studies conducted in Italy </w:t>
      </w:r>
      <w:r w:rsidR="006357E3">
        <w:rPr>
          <w:rFonts w:asciiTheme="majorBidi" w:hAnsiTheme="majorBidi" w:cstheme="majorBidi"/>
        </w:rPr>
        <w:fldChar w:fldCharType="begin"/>
      </w:r>
      <w:r w:rsidR="0025057B">
        <w:rPr>
          <w:rFonts w:asciiTheme="majorBidi" w:hAnsiTheme="majorBidi" w:cstheme="majorBidi"/>
        </w:rPr>
        <w:instrText xml:space="preserve"> ADDIN EN.CITE &lt;EndNote&gt;&lt;Cite&gt;&lt;Author&gt;Pavoni&lt;/Author&gt;&lt;Year&gt;2010&lt;/Year&gt;&lt;RecNum&gt;44&lt;/RecNum&gt;&lt;DisplayText&gt;(28)&lt;/DisplayText&gt;&lt;record&gt;&lt;rec-number&gt;44&lt;/rec-number&gt;&lt;foreign-keys&gt;&lt;key app="EN" db-id="fpxxxaz24vpvwoe50sfxpwvpvx2s0wfs9dse" timestamp="1583757517"&gt;44&lt;/key&gt;&lt;/foreign-keys&gt;&lt;ref-type name="Journal Article"&gt;17&lt;/ref-type&gt;&lt;contributors&gt;&lt;authors&gt;&lt;author&gt;Pavoni, Vittorio&lt;/author&gt;&lt;author&gt;Gianesello, Lara&lt;/author&gt;&lt;author&gt;Paparella, Laura&lt;/author&gt;&lt;author&gt;Buoninsegni, Laura Tadini&lt;/author&gt;&lt;author&gt;Barboni, Elisabetta&lt;/author&gt;&lt;/authors&gt;&lt;/contributors&gt;&lt;titles&gt;&lt;title&gt;Outcome predictors and quality of life of severe burn patients admitted to intensive care unit&lt;/title&gt;&lt;secondary-title&gt;Scandinavian journal of trauma, resuscitation and emergency medicine&lt;/secondary-title&gt;&lt;/titles&gt;&lt;periodical&gt;&lt;full-title&gt;Scandinavian journal of trauma, resuscitation and emergency medicine&lt;/full-title&gt;&lt;/periodical&gt;&lt;pages&gt;24&lt;/pages&gt;&lt;volume&gt;18&lt;/volume&gt;&lt;number&gt;1&lt;/number&gt;&lt;dates&gt;&lt;year&gt;2010&lt;/year&gt;&lt;/dates&gt;&lt;isbn&gt;1757-7241&lt;/isbn&gt;&lt;urls&gt;&lt;/urls&gt;&lt;/record&gt;&lt;/Cite&gt;&lt;/EndNote&gt;</w:instrText>
      </w:r>
      <w:r w:rsidR="006357E3">
        <w:rPr>
          <w:rFonts w:asciiTheme="majorBidi" w:hAnsiTheme="majorBidi" w:cstheme="majorBidi"/>
        </w:rPr>
        <w:fldChar w:fldCharType="separate"/>
      </w:r>
      <w:r w:rsidR="0025057B">
        <w:rPr>
          <w:rFonts w:asciiTheme="majorBidi" w:hAnsiTheme="majorBidi" w:cstheme="majorBidi"/>
          <w:noProof/>
        </w:rPr>
        <w:t>(28)</w:t>
      </w:r>
      <w:r w:rsidR="006357E3">
        <w:rPr>
          <w:rFonts w:asciiTheme="majorBidi" w:hAnsiTheme="majorBidi" w:cstheme="majorBidi"/>
        </w:rPr>
        <w:fldChar w:fldCharType="end"/>
      </w:r>
      <w:r w:rsidR="0025057B">
        <w:rPr>
          <w:rFonts w:asciiTheme="majorBidi" w:hAnsiTheme="majorBidi" w:cstheme="majorBidi"/>
        </w:rPr>
        <w:t xml:space="preserve">, and USA </w:t>
      </w:r>
      <w:r w:rsidR="006357E3">
        <w:rPr>
          <w:rFonts w:asciiTheme="majorBidi" w:hAnsiTheme="majorBidi" w:cstheme="majorBidi"/>
        </w:rPr>
        <w:fldChar w:fldCharType="begin"/>
      </w:r>
      <w:r w:rsidR="0025057B">
        <w:rPr>
          <w:rFonts w:asciiTheme="majorBidi" w:hAnsiTheme="majorBidi" w:cstheme="majorBidi"/>
        </w:rPr>
        <w:instrText xml:space="preserve"> ADDIN EN.CITE &lt;EndNote&gt;&lt;Cite&gt;&lt;Author&gt;Jeschke&lt;/Author&gt;&lt;Year&gt;2015&lt;/Year&gt;&lt;RecNum&gt;46&lt;/RecNum&gt;&lt;DisplayText&gt;(29)&lt;/DisplayText&gt;&lt;record&gt;&lt;rec-number&gt;46&lt;/rec-number&gt;&lt;foreign-keys&gt;&lt;key app="EN" db-id="fpxxxaz24vpvwoe50sfxpwvpvx2s0wfs9dse" timestamp="1584111666"&gt;46&lt;/key&gt;&lt;/foreign-keys&gt;&lt;ref-type name="Journal Article"&gt;17&lt;/ref-type&gt;&lt;contributors&gt;&lt;authors&gt;&lt;author&gt;Jeschke, Marc G&lt;/author&gt;&lt;author&gt;Pinto, Ruxandra&lt;/author&gt;&lt;author&gt;Kraft, Robert&lt;/author&gt;&lt;author&gt;Nathens, Avery B&lt;/author&gt;&lt;author&gt;Finnerty, Celeste C&lt;/author&gt;&lt;author&gt;Gamelli, Richard L&lt;/author&gt;&lt;author&gt;Gibran, Nicole S&lt;/author&gt;&lt;author&gt;Klein, Matthew B&lt;/author&gt;&lt;author&gt;Arnoldo, Brett D&lt;/author&gt;&lt;author&gt;Tompkins, Ronald G&lt;/author&gt;&lt;/authors&gt;&lt;/contributors&gt;&lt;titles&gt;&lt;title&gt;Morbidity and survival probability in burn patients in modern burn care&lt;/title&gt;&lt;secondary-title&gt;Critical care medicine&lt;/secondary-title&gt;&lt;/titles&gt;&lt;periodical&gt;&lt;full-title&gt;Critical care medicine&lt;/full-title&gt;&lt;/periodical&gt;&lt;pages&gt;808&lt;/pages&gt;&lt;volume&gt;43&lt;/volume&gt;&lt;number&gt;4&lt;/number&gt;&lt;dates&gt;&lt;year&gt;2015&lt;/year&gt;&lt;/dates&gt;&lt;urls&gt;&lt;/urls&gt;&lt;/record&gt;&lt;/Cite&gt;&lt;/EndNote&gt;</w:instrText>
      </w:r>
      <w:r w:rsidR="006357E3">
        <w:rPr>
          <w:rFonts w:asciiTheme="majorBidi" w:hAnsiTheme="majorBidi" w:cstheme="majorBidi"/>
        </w:rPr>
        <w:fldChar w:fldCharType="separate"/>
      </w:r>
      <w:r w:rsidR="0025057B">
        <w:rPr>
          <w:rFonts w:asciiTheme="majorBidi" w:hAnsiTheme="majorBidi" w:cstheme="majorBidi"/>
          <w:noProof/>
        </w:rPr>
        <w:t>(29)</w:t>
      </w:r>
      <w:r w:rsidR="006357E3">
        <w:rPr>
          <w:rFonts w:asciiTheme="majorBidi" w:hAnsiTheme="majorBidi" w:cstheme="majorBidi"/>
        </w:rPr>
        <w:fldChar w:fldCharType="end"/>
      </w:r>
      <w:r w:rsidR="0025057B">
        <w:rPr>
          <w:rFonts w:asciiTheme="majorBidi" w:hAnsiTheme="majorBidi" w:cstheme="majorBidi"/>
        </w:rPr>
        <w:t xml:space="preserve">. </w:t>
      </w:r>
    </w:p>
    <w:p w:rsidR="00447A60" w:rsidRDefault="00E1227A" w:rsidP="00456283">
      <w:pPr>
        <w:bidi w:val="0"/>
        <w:spacing w:line="360" w:lineRule="auto"/>
        <w:rPr>
          <w:rFonts w:eastAsiaTheme="minorEastAsia"/>
        </w:rPr>
      </w:pPr>
      <w:r>
        <w:rPr>
          <w:rFonts w:eastAsiaTheme="minorEastAsia"/>
        </w:rPr>
        <w:t>We compared some parameters between the survived and non survived groups to determine which one has effect on mortality rate, according to our results total serum protein showed a statistically significant decrease in</w:t>
      </w:r>
      <w:r w:rsidR="00456283">
        <w:rPr>
          <w:rFonts w:eastAsiaTheme="minorEastAsia"/>
        </w:rPr>
        <w:t xml:space="preserve"> non survivors in all three weeks, this result agrees with a study conducted in India </w:t>
      </w:r>
      <w:r w:rsidR="006357E3">
        <w:rPr>
          <w:rFonts w:eastAsiaTheme="minorEastAsia"/>
        </w:rPr>
        <w:fldChar w:fldCharType="begin"/>
      </w:r>
      <w:r w:rsidR="00456283">
        <w:rPr>
          <w:rFonts w:eastAsiaTheme="minorEastAsia"/>
        </w:rPr>
        <w:instrText xml:space="preserve"> ADDIN EN.CITE &lt;EndNote&gt;&lt;Cite&gt;&lt;Author&gt;Gupta&lt;/Author&gt;&lt;Year&gt;2018&lt;/Year&gt;&lt;RecNum&gt;86&lt;/RecNum&gt;&lt;DisplayText&gt;(46)&lt;/DisplayText&gt;&lt;record&gt;&lt;rec-number&gt;86&lt;/rec-number&gt;&lt;foreign-keys&gt;&lt;key app="EN" db-id="fpxxxaz24vpvwoe50sfxpwvpvx2s0wfs9dse" timestamp="1586107437"&gt;86&lt;/key&gt;&lt;/foreign-keys&gt;&lt;ref-type name="Journal Article"&gt;17&lt;/ref-type&gt;&lt;contributors&gt;&lt;authors&gt;&lt;author&gt;Gupta, Shobhit&lt;/author&gt;&lt;author&gt;Bhattacharya, Sameek&lt;/author&gt;&lt;author&gt;Goyal, Parui&lt;/author&gt;&lt;/authors&gt;&lt;/contributors&gt;&lt;titles&gt;&lt;title&gt;Role of first day levels and subsequent trends of serum proteins in acute burns&lt;/title&gt;&lt;secondary-title&gt;Journal of Acute Disease&lt;/secondary-title&gt;&lt;/titles&gt;&lt;periodical&gt;&lt;full-title&gt;Journal of Acute Disease&lt;/full-title&gt;&lt;/periodical&gt;&lt;pages&gt;31&lt;/pages&gt;&lt;volume&gt;7&lt;/volume&gt;&lt;number&gt;1&lt;/number&gt;&lt;dates&gt;&lt;year&gt;2018&lt;/year&gt;&lt;/dates&gt;&lt;isbn&gt;2221-6189&lt;/isbn&gt;&lt;urls&gt;&lt;/urls&gt;&lt;/record&gt;&lt;/Cite&gt;&lt;/EndNote&gt;</w:instrText>
      </w:r>
      <w:r w:rsidR="006357E3">
        <w:rPr>
          <w:rFonts w:eastAsiaTheme="minorEastAsia"/>
        </w:rPr>
        <w:fldChar w:fldCharType="separate"/>
      </w:r>
      <w:r w:rsidR="00456283">
        <w:rPr>
          <w:rFonts w:eastAsiaTheme="minorEastAsia"/>
          <w:noProof/>
        </w:rPr>
        <w:t>(46)</w:t>
      </w:r>
      <w:r w:rsidR="006357E3">
        <w:rPr>
          <w:rFonts w:eastAsiaTheme="minorEastAsia"/>
        </w:rPr>
        <w:fldChar w:fldCharType="end"/>
      </w:r>
      <w:r w:rsidR="00456283">
        <w:rPr>
          <w:rFonts w:eastAsiaTheme="minorEastAsia"/>
        </w:rPr>
        <w:t>.</w:t>
      </w:r>
      <w:r w:rsidR="00001EA5">
        <w:rPr>
          <w:rFonts w:eastAsiaTheme="minorEastAsia"/>
        </w:rPr>
        <w:t xml:space="preserve"> Although the level of </w:t>
      </w:r>
      <w:r w:rsidR="00456283">
        <w:rPr>
          <w:rFonts w:eastAsiaTheme="minorEastAsia"/>
        </w:rPr>
        <w:t xml:space="preserve">our results on serum albumin showed </w:t>
      </w:r>
      <w:r w:rsidR="00001EA5">
        <w:rPr>
          <w:rFonts w:eastAsiaTheme="minorEastAsia"/>
        </w:rPr>
        <w:t>a decrease in the first week, there was no</w:t>
      </w:r>
      <w:r w:rsidR="00456283">
        <w:rPr>
          <w:rFonts w:eastAsiaTheme="minorEastAsia"/>
        </w:rPr>
        <w:t xml:space="preserve"> statistically significant relation between the two groups, which is constant with the results of the same study in India </w:t>
      </w:r>
      <w:r w:rsidR="006357E3">
        <w:rPr>
          <w:rFonts w:eastAsiaTheme="minorEastAsia"/>
        </w:rPr>
        <w:fldChar w:fldCharType="begin"/>
      </w:r>
      <w:r w:rsidR="00456283">
        <w:rPr>
          <w:rFonts w:eastAsiaTheme="minorEastAsia"/>
        </w:rPr>
        <w:instrText xml:space="preserve"> ADDIN EN.CITE &lt;EndNote&gt;&lt;Cite&gt;&lt;Author&gt;Gupta&lt;/Author&gt;&lt;Year&gt;2018&lt;/Year&gt;&lt;RecNum&gt;86&lt;/RecNum&gt;&lt;DisplayText&gt;(46)&lt;/DisplayText&gt;&lt;record&gt;&lt;rec-number&gt;86&lt;/rec-number&gt;&lt;foreign-keys&gt;&lt;key app="EN" db-id="fpxxxaz24vpvwoe50sfxpwvpvx2s0wfs9dse" timestamp="1586107437"&gt;86&lt;/key&gt;&lt;/foreign-keys&gt;&lt;ref-type name="Journal Article"&gt;17&lt;/ref-type&gt;&lt;contributors&gt;&lt;authors&gt;&lt;author&gt;Gupta, Shobhit&lt;/author&gt;&lt;author&gt;Bhattacharya, Sameek&lt;/author&gt;&lt;author&gt;Goyal, Parui&lt;/author&gt;&lt;/authors&gt;&lt;/contributors&gt;&lt;titles&gt;&lt;title&gt;Role of first day levels and subsequent trends of serum proteins in acute burns&lt;/title&gt;&lt;secondary-title&gt;Journal of Acute Disease&lt;/secondary-title&gt;&lt;/titles&gt;&lt;periodical&gt;&lt;full-title&gt;Journal of Acute Disease&lt;/full-title&gt;&lt;/periodical&gt;&lt;pages&gt;31&lt;/pages&gt;&lt;volume&gt;7&lt;/volume&gt;&lt;number&gt;1&lt;/number&gt;&lt;dates&gt;&lt;year&gt;2018&lt;/year&gt;&lt;/dates&gt;&lt;isbn&gt;2221-6189&lt;/isbn&gt;&lt;urls&gt;&lt;/urls&gt;&lt;/record&gt;&lt;/Cite&gt;&lt;/EndNote&gt;</w:instrText>
      </w:r>
      <w:r w:rsidR="006357E3">
        <w:rPr>
          <w:rFonts w:eastAsiaTheme="minorEastAsia"/>
        </w:rPr>
        <w:fldChar w:fldCharType="separate"/>
      </w:r>
      <w:r w:rsidR="00456283">
        <w:rPr>
          <w:rFonts w:eastAsiaTheme="minorEastAsia"/>
          <w:noProof/>
        </w:rPr>
        <w:t>(46)</w:t>
      </w:r>
      <w:r w:rsidR="006357E3">
        <w:rPr>
          <w:rFonts w:eastAsiaTheme="minorEastAsia"/>
        </w:rPr>
        <w:fldChar w:fldCharType="end"/>
      </w:r>
      <w:r w:rsidR="00456283">
        <w:rPr>
          <w:rFonts w:eastAsiaTheme="minorEastAsia"/>
        </w:rPr>
        <w:t xml:space="preserve"> and another study in Mexico </w:t>
      </w:r>
      <w:r w:rsidR="006357E3">
        <w:rPr>
          <w:rFonts w:eastAsiaTheme="minorEastAsia"/>
        </w:rPr>
        <w:fldChar w:fldCharType="begin"/>
      </w:r>
      <w:r w:rsidR="00456283">
        <w:rPr>
          <w:rFonts w:eastAsiaTheme="minorEastAsia"/>
        </w:rPr>
        <w:instrText xml:space="preserve"> ADDIN EN.CITE &lt;EndNote&gt;&lt;Cite&gt;&lt;Author&gt;Aguayo-Becerra&lt;/Author&gt;&lt;Year&gt;2013&lt;/Year&gt;&lt;RecNum&gt;87&lt;/RecNum&gt;&lt;DisplayText&gt;(47)&lt;/DisplayText&gt;&lt;record&gt;&lt;rec-number&gt;87&lt;/rec-number&gt;&lt;foreign-keys&gt;&lt;key app="EN" db-id="fpxxxaz24vpvwoe50sfxpwvpvx2s0wfs9dse" timestamp="1586107661"&gt;87&lt;/key&gt;&lt;/foreign-keys&gt;&lt;ref-type name="Journal Article"&gt;17&lt;/ref-type&gt;&lt;contributors&gt;&lt;authors&gt;&lt;author&gt;Aguayo-Becerra, Olivia Alejandra&lt;/author&gt;&lt;author&gt;Torres-Garibay, Carlos&lt;/author&gt;&lt;author&gt;Macías-Amezcua, Michel Dassaejv&lt;/author&gt;&lt;author&gt;Fuentes-Orozco, Clotilde&lt;/author&gt;&lt;author&gt;Chávez-Tostado, Mariana de Guadalupe&lt;/author&gt;&lt;author&gt;Andalón-Dueñas, Elizabeth&lt;/author&gt;&lt;author&gt;Partida, Arturo Espinosa&lt;/author&gt;&lt;author&gt;Álvarez-Villaseñor, Andrea Del Socorro&lt;/author&gt;&lt;author&gt;Cortés-Flores, Ana Olivia&lt;/author&gt;&lt;author&gt;González-Ojeda, Alejandro&lt;/author&gt;&lt;/authors&gt;&lt;/contributors&gt;&lt;titles&gt;&lt;title&gt;Serum albumin level as a risk factor for mortality in burn patients&lt;/title&gt;&lt;secondary-title&gt;Clinics&lt;/secondary-title&gt;&lt;/titles&gt;&lt;periodical&gt;&lt;full-title&gt;Clinics&lt;/full-title&gt;&lt;/periodical&gt;&lt;pages&gt;940-945&lt;/pages&gt;&lt;volume&gt;68&lt;/volume&gt;&lt;number&gt;7&lt;/number&gt;&lt;dates&gt;&lt;year&gt;2013&lt;/year&gt;&lt;/dates&gt;&lt;isbn&gt;1807-5932&lt;/isbn&gt;&lt;urls&gt;&lt;/urls&gt;&lt;/record&gt;&lt;/Cite&gt;&lt;/EndNote&gt;</w:instrText>
      </w:r>
      <w:r w:rsidR="006357E3">
        <w:rPr>
          <w:rFonts w:eastAsiaTheme="minorEastAsia"/>
        </w:rPr>
        <w:fldChar w:fldCharType="separate"/>
      </w:r>
      <w:r w:rsidR="00456283">
        <w:rPr>
          <w:rFonts w:eastAsiaTheme="minorEastAsia"/>
          <w:noProof/>
        </w:rPr>
        <w:t>(47)</w:t>
      </w:r>
      <w:r w:rsidR="006357E3">
        <w:rPr>
          <w:rFonts w:eastAsiaTheme="minorEastAsia"/>
        </w:rPr>
        <w:fldChar w:fldCharType="end"/>
      </w:r>
      <w:r w:rsidR="00456283">
        <w:rPr>
          <w:rFonts w:eastAsiaTheme="minorEastAsia"/>
        </w:rPr>
        <w:t xml:space="preserve">. </w:t>
      </w:r>
    </w:p>
    <w:p w:rsidR="003501B5" w:rsidRDefault="003501B5" w:rsidP="003501B5">
      <w:pPr>
        <w:bidi w:val="0"/>
        <w:spacing w:line="360" w:lineRule="auto"/>
        <w:rPr>
          <w:rFonts w:eastAsiaTheme="minorEastAsia"/>
        </w:rPr>
      </w:pPr>
    </w:p>
    <w:p w:rsidR="007B5611" w:rsidRPr="00CD2E2D" w:rsidRDefault="00CD2E2D" w:rsidP="003501B5">
      <w:pPr>
        <w:bidi w:val="0"/>
        <w:spacing w:line="360" w:lineRule="auto"/>
        <w:ind w:firstLine="720"/>
      </w:pPr>
      <w:r>
        <w:t xml:space="preserve">Serum </w:t>
      </w:r>
      <w:r w:rsidRPr="00282D55">
        <w:t xml:space="preserve">crieatinine levels showed statistically significant </w:t>
      </w:r>
      <w:r>
        <w:t>increase</w:t>
      </w:r>
      <w:r w:rsidRPr="00282D55">
        <w:t xml:space="preserve"> in nonsurvivors compared to the</w:t>
      </w:r>
      <w:r>
        <w:t xml:space="preserve"> survivors in all three weeks. </w:t>
      </w:r>
      <w:r w:rsidR="007B5611" w:rsidRPr="00282D55">
        <w:rPr>
          <w:rFonts w:asciiTheme="majorBidi" w:hAnsiTheme="majorBidi" w:cstheme="majorBidi"/>
        </w:rPr>
        <w:t>Levels of blood urea were increased in non survivors compared to the survivors in the first and third week, but</w:t>
      </w:r>
      <w:r w:rsidR="007B5611">
        <w:rPr>
          <w:rFonts w:asciiTheme="majorBidi" w:hAnsiTheme="majorBidi" w:cstheme="majorBidi"/>
        </w:rPr>
        <w:t xml:space="preserve"> decreased in the second week, but </w:t>
      </w:r>
      <w:r>
        <w:rPr>
          <w:rFonts w:asciiTheme="majorBidi" w:hAnsiTheme="majorBidi" w:cstheme="majorBidi"/>
        </w:rPr>
        <w:t>ultima</w:t>
      </w:r>
      <w:r w:rsidR="007B5611">
        <w:rPr>
          <w:rFonts w:asciiTheme="majorBidi" w:hAnsiTheme="majorBidi" w:cstheme="majorBidi"/>
        </w:rPr>
        <w:t>t</w:t>
      </w:r>
      <w:r>
        <w:rPr>
          <w:rFonts w:asciiTheme="majorBidi" w:hAnsiTheme="majorBidi" w:cstheme="majorBidi"/>
        </w:rPr>
        <w:t>e</w:t>
      </w:r>
      <w:r w:rsidR="007B5611">
        <w:rPr>
          <w:rFonts w:asciiTheme="majorBidi" w:hAnsiTheme="majorBidi" w:cstheme="majorBidi"/>
        </w:rPr>
        <w:t>ly there was</w:t>
      </w:r>
      <w:r w:rsidR="007B5611" w:rsidRPr="00282D55">
        <w:rPr>
          <w:rFonts w:asciiTheme="majorBidi" w:hAnsiTheme="majorBidi" w:cstheme="majorBidi"/>
        </w:rPr>
        <w:t xml:space="preserve"> no statistically significant relation</w:t>
      </w:r>
      <w:r w:rsidR="007B5611">
        <w:rPr>
          <w:rFonts w:asciiTheme="majorBidi" w:hAnsiTheme="majorBidi" w:cstheme="majorBidi"/>
        </w:rPr>
        <w:t>.</w:t>
      </w:r>
      <w:r w:rsidR="0076238C">
        <w:t>The levels of WBC count showed a decreased level in the non survivors compared to the survivors in all three weeks, but there was no statistically significant relation according to the p-value.</w:t>
      </w:r>
    </w:p>
    <w:p w:rsidR="00A16C4E" w:rsidRDefault="00857891" w:rsidP="003501B5">
      <w:pPr>
        <w:bidi w:val="0"/>
        <w:spacing w:line="360" w:lineRule="auto"/>
        <w:ind w:firstLine="720"/>
        <w:rPr>
          <w:rFonts w:eastAsiaTheme="minorEastAsia"/>
        </w:rPr>
      </w:pPr>
      <w:r>
        <w:rPr>
          <w:rFonts w:eastAsiaTheme="minorEastAsia"/>
        </w:rPr>
        <w:t>Out</w:t>
      </w:r>
      <w:r w:rsidR="00924872" w:rsidRPr="008C4589">
        <w:rPr>
          <w:rFonts w:eastAsiaTheme="minorEastAsia"/>
        </w:rPr>
        <w:t xml:space="preserve"> Of 100 burn patient</w:t>
      </w:r>
      <w:r>
        <w:rPr>
          <w:rFonts w:eastAsiaTheme="minorEastAsia"/>
        </w:rPr>
        <w:t>s,</w:t>
      </w:r>
      <w:r w:rsidR="00924872" w:rsidRPr="008C4589">
        <w:rPr>
          <w:rFonts w:eastAsiaTheme="minorEastAsia"/>
        </w:rPr>
        <w:t xml:space="preserve"> 90 of them had infection, a total of 14 different types of bacteria were isolated, majority of the results were Gram-negative bacteria (66.8%), </w:t>
      </w:r>
      <w:r w:rsidR="00B27139">
        <w:rPr>
          <w:rFonts w:eastAsiaTheme="minorEastAsia"/>
        </w:rPr>
        <w:t>and (33.2%) were Gram-posative, which correlates with a study carried out in</w:t>
      </w:r>
      <w:r w:rsidR="00A16C4E" w:rsidRPr="00A16C4E">
        <w:rPr>
          <w:rFonts w:eastAsiaTheme="minorEastAsia"/>
        </w:rPr>
        <w:t>Vienna, Austria</w:t>
      </w:r>
      <w:r w:rsidR="006357E3">
        <w:rPr>
          <w:rFonts w:eastAsiaTheme="minorEastAsia"/>
        </w:rPr>
        <w:fldChar w:fldCharType="begin"/>
      </w:r>
      <w:r w:rsidR="00B27139">
        <w:rPr>
          <w:rFonts w:eastAsiaTheme="minorEastAsia"/>
        </w:rPr>
        <w:instrText xml:space="preserve"> ADDIN EN.CITE &lt;EndNote&gt;&lt;Cite&gt;&lt;Author&gt;Fochtmann-Frana&lt;/Author&gt;&lt;Year&gt;2018&lt;/Year&gt;&lt;RecNum&gt;61&lt;/RecNum&gt;&lt;DisplayText&gt;(34)&lt;/DisplayText&gt;&lt;record&gt;&lt;rec-number&gt;61&lt;/rec-number&gt;&lt;foreign-keys&gt;&lt;key app="EN" db-id="fpxxxaz24vpvwoe50sfxpwvpvx2s0wfs9dse" timestamp="1585057623"&gt;61&lt;/key&gt;&lt;/foreign-keys&gt;&lt;ref-type name="Journal Article"&gt;17&lt;/ref-type&gt;&lt;contributors&gt;&lt;authors&gt;&lt;author&gt;Fochtmann-Frana, Alexandra&lt;/author&gt;&lt;author&gt;Freystätter, Christian&lt;/author&gt;&lt;author&gt;Vorstandlechner, Vera&lt;/author&gt;&lt;author&gt;Barth, André&lt;/author&gt;&lt;author&gt;Bolliger, Michael&lt;/author&gt;&lt;author&gt;Presterl, Elisabeth&lt;/author&gt;&lt;author&gt;Ihra, Gerald&lt;/author&gt;&lt;author&gt;Muschitz, Gabriela&lt;/author&gt;&lt;author&gt;Mittlboeck, Martina&lt;/author&gt;&lt;author&gt;Makristathis, Athanasios&lt;/author&gt;&lt;/authors&gt;&lt;/contributors&gt;&lt;titles&gt;&lt;title&gt;Incidence of risk factors for bloodstream infections in patients with major burns receiving intensive care: A retrospective single-center cohort study&lt;/title&gt;&lt;secondary-title&gt;Burns&lt;/secondary-title&gt;&lt;/titles&gt;&lt;periodical&gt;&lt;full-title&gt;Burns&lt;/full-title&gt;&lt;/periodical&gt;&lt;pages&gt;784-792&lt;/pages&gt;&lt;volume&gt;44&lt;/volume&gt;&lt;number&gt;4&lt;/number&gt;&lt;dates&gt;&lt;year&gt;2018&lt;/year&gt;&lt;/dates&gt;&lt;isbn&gt;0305-4179&lt;/isbn&gt;&lt;urls&gt;&lt;/urls&gt;&lt;/record&gt;&lt;/Cite&gt;&lt;/EndNote&gt;</w:instrText>
      </w:r>
      <w:r w:rsidR="006357E3">
        <w:rPr>
          <w:rFonts w:eastAsiaTheme="minorEastAsia"/>
        </w:rPr>
        <w:fldChar w:fldCharType="separate"/>
      </w:r>
      <w:r w:rsidR="00B27139">
        <w:rPr>
          <w:rFonts w:eastAsiaTheme="minorEastAsia"/>
          <w:noProof/>
        </w:rPr>
        <w:t>(34)</w:t>
      </w:r>
      <w:r w:rsidR="006357E3">
        <w:rPr>
          <w:rFonts w:eastAsiaTheme="minorEastAsia"/>
        </w:rPr>
        <w:fldChar w:fldCharType="end"/>
      </w:r>
      <w:r w:rsidR="00A16C4E">
        <w:rPr>
          <w:rFonts w:eastAsiaTheme="minorEastAsia"/>
        </w:rPr>
        <w:t>.</w:t>
      </w:r>
    </w:p>
    <w:p w:rsidR="00924872" w:rsidRPr="008C4589" w:rsidRDefault="00924872" w:rsidP="004C0C1E">
      <w:pPr>
        <w:bidi w:val="0"/>
        <w:spacing w:line="360" w:lineRule="auto"/>
        <w:ind w:firstLine="720"/>
        <w:rPr>
          <w:rFonts w:eastAsiaTheme="minorEastAsia"/>
        </w:rPr>
      </w:pPr>
      <w:r w:rsidRPr="008C4589">
        <w:rPr>
          <w:rFonts w:eastAsiaTheme="minorEastAsia"/>
        </w:rPr>
        <w:t>Pseudomonas aeruginosa (32.5%), and Klebsiella pneumonia (11%) and Acinetobacter baumannii (9.5%) were the most common gram negative organisms, and staphylococcus aureus (33.2%) was the only g</w:t>
      </w:r>
      <w:r w:rsidR="00A16C4E">
        <w:rPr>
          <w:rFonts w:eastAsiaTheme="minorEastAsia"/>
        </w:rPr>
        <w:t xml:space="preserve">ram positive organism recovered, this relates with a study in Iran </w:t>
      </w:r>
      <w:r w:rsidR="006357E3">
        <w:rPr>
          <w:rFonts w:eastAsiaTheme="minorEastAsia"/>
        </w:rPr>
        <w:fldChar w:fldCharType="begin"/>
      </w:r>
      <w:r w:rsidR="00A16C4E">
        <w:rPr>
          <w:rFonts w:eastAsiaTheme="minorEastAsia"/>
        </w:rPr>
        <w:instrText xml:space="preserve"> ADDIN EN.CITE &lt;EndNote&gt;&lt;Cite&gt;&lt;Author&gt;Rezaei&lt;/Author&gt;&lt;Year&gt;2011&lt;/Year&gt;&lt;RecNum&gt;62&lt;/RecNum&gt;&lt;DisplayText&gt;(35)&lt;/DisplayText&gt;&lt;record&gt;&lt;rec-number&gt;62&lt;/rec-number&gt;&lt;foreign-keys&gt;&lt;key app="EN" db-id="fpxxxaz24vpvwoe50sfxpwvpvx2s0wfs9dse" timestamp="1585221131"&gt;62&lt;/key&gt;&lt;/foreign-keys&gt;&lt;ref-type name="Journal Article"&gt;17&lt;/ref-type&gt;&lt;contributors&gt;&lt;authors&gt;&lt;author&gt;Rezaei, Ezzatollah&lt;/author&gt;&lt;author&gt;Safari, Hosain&lt;/author&gt;&lt;author&gt;Naderinasab, Mahbobe&lt;/author&gt;&lt;author&gt;Aliakbarian, Hassan&lt;/author&gt;&lt;/authors&gt;&lt;/contributors&gt;&lt;titles&gt;&lt;title&gt;Common pathogens in burn wound and changes in their drug sensitivity&lt;/title&gt;&lt;secondary-title&gt;Burns&lt;/secondary-title&gt;&lt;/titles&gt;&lt;periodical&gt;&lt;full-title&gt;Burns&lt;/full-title&gt;&lt;/periodical&gt;&lt;pages&gt;805-807&lt;/pages&gt;&lt;volume&gt;37&lt;/volume&gt;&lt;number&gt;5&lt;/number&gt;&lt;dates&gt;&lt;year&gt;2011&lt;/year&gt;&lt;/dates&gt;&lt;isbn&gt;0305-4179&lt;/isbn&gt;&lt;urls&gt;&lt;/urls&gt;&lt;/record&gt;&lt;/Cite&gt;&lt;/EndNote&gt;</w:instrText>
      </w:r>
      <w:r w:rsidR="006357E3">
        <w:rPr>
          <w:rFonts w:eastAsiaTheme="minorEastAsia"/>
        </w:rPr>
        <w:fldChar w:fldCharType="separate"/>
      </w:r>
      <w:r w:rsidR="00A16C4E">
        <w:rPr>
          <w:rFonts w:eastAsiaTheme="minorEastAsia"/>
          <w:noProof/>
        </w:rPr>
        <w:t>(35)</w:t>
      </w:r>
      <w:r w:rsidR="006357E3">
        <w:rPr>
          <w:rFonts w:eastAsiaTheme="minorEastAsia"/>
        </w:rPr>
        <w:fldChar w:fldCharType="end"/>
      </w:r>
      <w:r w:rsidR="00A16C4E">
        <w:rPr>
          <w:rFonts w:eastAsiaTheme="minorEastAsia"/>
        </w:rPr>
        <w:t>.</w:t>
      </w:r>
    </w:p>
    <w:p w:rsidR="00D142EE" w:rsidRDefault="002B5D5B" w:rsidP="00D142EE">
      <w:pPr>
        <w:bidi w:val="0"/>
        <w:spacing w:line="360" w:lineRule="auto"/>
        <w:rPr>
          <w:rFonts w:eastAsiaTheme="minorEastAsia"/>
        </w:rPr>
      </w:pPr>
      <w:r>
        <w:rPr>
          <w:rFonts w:eastAsiaTheme="minorEastAsia"/>
        </w:rPr>
        <w:lastRenderedPageBreak/>
        <w:t xml:space="preserve">        </w:t>
      </w:r>
      <w:r w:rsidR="00924872" w:rsidRPr="008C4589">
        <w:rPr>
          <w:rFonts w:eastAsiaTheme="minorEastAsia"/>
        </w:rPr>
        <w:t>Our study show that 66.6% of</w:t>
      </w:r>
      <w:r w:rsidR="00F3644F">
        <w:rPr>
          <w:rFonts w:eastAsiaTheme="minorEastAsia"/>
        </w:rPr>
        <w:t xml:space="preserve"> theinfected </w:t>
      </w:r>
      <w:r w:rsidR="00924872" w:rsidRPr="008C4589">
        <w:rPr>
          <w:rFonts w:eastAsiaTheme="minorEastAsia"/>
        </w:rPr>
        <w:t>patients had fever during the first week, 55.5% o</w:t>
      </w:r>
      <w:r w:rsidR="00D142EE">
        <w:rPr>
          <w:rFonts w:eastAsiaTheme="minorEastAsia"/>
        </w:rPr>
        <w:t xml:space="preserve">f them had fever in second week, so according to our results we can predict presence of infectiondepending on fever in burn patients, this result is contrast with a study done in USA </w:t>
      </w:r>
      <w:r w:rsidR="006357E3">
        <w:rPr>
          <w:rFonts w:eastAsiaTheme="minorEastAsia"/>
        </w:rPr>
        <w:fldChar w:fldCharType="begin"/>
      </w:r>
      <w:r w:rsidR="00D142EE">
        <w:rPr>
          <w:rFonts w:eastAsiaTheme="minorEastAsia"/>
        </w:rPr>
        <w:instrText xml:space="preserve"> ADDIN EN.CITE &lt;EndNote&gt;&lt;Cite&gt;&lt;Author&gt;Murray&lt;/Author&gt;&lt;Year&gt;2007&lt;/Year&gt;&lt;RecNum&gt;36&lt;/RecNum&gt;&lt;DisplayText&gt;(48)&lt;/DisplayText&gt;&lt;record&gt;&lt;rec-number&gt;36&lt;/rec-number&gt;&lt;foreign-keys&gt;&lt;key app="EN" db-id="fpxxxaz24vpvwoe50sfxpwvpvx2s0wfs9dse" timestamp="1582822180"&gt;36&lt;/key&gt;&lt;/foreign-keys&gt;&lt;ref-type name="Journal Article"&gt;17&lt;/ref-type&gt;&lt;contributors&gt;&lt;authors&gt;&lt;author&gt;Murray, Clinton K&lt;/author&gt;&lt;author&gt;Hoffmaster, Roselle M&lt;/author&gt;&lt;author&gt;Schmit, David R&lt;/author&gt;&lt;author&gt;Hospenthal, Duane R&lt;/author&gt;&lt;author&gt;Ward, John A&lt;/author&gt;&lt;author&gt;Cancio, Leopoldo C&lt;/author&gt;&lt;author&gt;Wolf, Steven E&lt;/author&gt;&lt;/authors&gt;&lt;/contributors&gt;&lt;titles&gt;&lt;title&gt;Evaluation of white blood cell count, neutrophil percentage, and elevated temperature as predictors of bloodstream infection in burn patients&lt;/title&gt;&lt;secondary-title&gt;Archives of Surgery&lt;/secondary-title&gt;&lt;/titles&gt;&lt;periodical&gt;&lt;full-title&gt;Archives of Surgery&lt;/full-title&gt;&lt;/periodical&gt;&lt;pages&gt;639-642&lt;/pages&gt;&lt;volume&gt;142&lt;/volume&gt;&lt;number&gt;7&lt;/number&gt;&lt;dates&gt;&lt;year&gt;2007&lt;/year&gt;&lt;/dates&gt;&lt;isbn&gt;0004-0010&lt;/isbn&gt;&lt;urls&gt;&lt;/urls&gt;&lt;/record&gt;&lt;/Cite&gt;&lt;/EndNote&gt;</w:instrText>
      </w:r>
      <w:r w:rsidR="006357E3">
        <w:rPr>
          <w:rFonts w:eastAsiaTheme="minorEastAsia"/>
        </w:rPr>
        <w:fldChar w:fldCharType="separate"/>
      </w:r>
      <w:r w:rsidR="00D142EE">
        <w:rPr>
          <w:rFonts w:eastAsiaTheme="minorEastAsia"/>
          <w:noProof/>
        </w:rPr>
        <w:t>(48)</w:t>
      </w:r>
      <w:r w:rsidR="006357E3">
        <w:rPr>
          <w:rFonts w:eastAsiaTheme="minorEastAsia"/>
        </w:rPr>
        <w:fldChar w:fldCharType="end"/>
      </w:r>
      <w:r w:rsidR="00D142EE">
        <w:rPr>
          <w:rFonts w:eastAsiaTheme="minorEastAsia"/>
        </w:rPr>
        <w:t xml:space="preserve"> that reports we can’t depend on presence of fever to determine blood stream infection in severe  burn patients.</w:t>
      </w:r>
    </w:p>
    <w:p w:rsidR="00924872" w:rsidRDefault="00924872" w:rsidP="008B1190">
      <w:pPr>
        <w:bidi w:val="0"/>
        <w:spacing w:line="360" w:lineRule="auto"/>
        <w:rPr>
          <w:rFonts w:eastAsiaTheme="minorEastAsia"/>
        </w:rPr>
      </w:pPr>
      <w:r w:rsidRPr="008C4589">
        <w:rPr>
          <w:rFonts w:eastAsiaTheme="minorEastAsia"/>
        </w:rPr>
        <w:t xml:space="preserve">20% of the patients who had fever infected with SS.aureus (MRSA), and 17% were </w:t>
      </w:r>
      <w:r w:rsidR="00FA31BF" w:rsidRPr="008C4589">
        <w:rPr>
          <w:rFonts w:eastAsiaTheme="minorEastAsia"/>
        </w:rPr>
        <w:t>infected</w:t>
      </w:r>
      <w:r w:rsidRPr="008C4589">
        <w:rPr>
          <w:rFonts w:eastAsiaTheme="minorEastAsia"/>
        </w:rPr>
        <w:t xml:space="preserve"> with Pseudomonas aeruginosa in first week, but in the second week 27% infected with SS.aureus and 24.3% of them were infected with Pseudomonas aeruginosa.</w:t>
      </w:r>
    </w:p>
    <w:p w:rsidR="009A70E2" w:rsidRPr="00282D55" w:rsidRDefault="002B5D5B" w:rsidP="009A70E2">
      <w:pPr>
        <w:tabs>
          <w:tab w:val="left" w:pos="2295"/>
        </w:tabs>
        <w:bidi w:val="0"/>
        <w:spacing w:line="360" w:lineRule="auto"/>
        <w:rPr>
          <w:rFonts w:asciiTheme="majorBidi" w:hAnsiTheme="majorBidi" w:cstheme="majorBidi"/>
        </w:rPr>
      </w:pPr>
      <w:r>
        <w:rPr>
          <w:rFonts w:eastAsiaTheme="minorEastAsia"/>
        </w:rPr>
        <w:t xml:space="preserve">    </w:t>
      </w:r>
      <w:r w:rsidR="009A70E2">
        <w:rPr>
          <w:rFonts w:eastAsiaTheme="minorEastAsia"/>
        </w:rPr>
        <w:t xml:space="preserve">Our results on WBC count changes during three weeks showed that </w:t>
      </w:r>
      <w:r w:rsidR="009A70E2">
        <w:rPr>
          <w:rFonts w:asciiTheme="majorBidi" w:hAnsiTheme="majorBidi" w:cstheme="majorBidi"/>
        </w:rPr>
        <w:t>i</w:t>
      </w:r>
      <w:r w:rsidR="009A70E2" w:rsidRPr="00282D55">
        <w:rPr>
          <w:rFonts w:asciiTheme="majorBidi" w:hAnsiTheme="majorBidi" w:cstheme="majorBidi"/>
        </w:rPr>
        <w:t>n the first week most of the patients had normal WBC count, but in the second week 64% of the patients had high WBC</w:t>
      </w:r>
      <w:r w:rsidR="009A70E2">
        <w:rPr>
          <w:rFonts w:asciiTheme="majorBidi" w:hAnsiTheme="majorBidi" w:cstheme="majorBidi"/>
        </w:rPr>
        <w:t xml:space="preserve"> count (leukocytosis), and 68% had leucocytosis in the third week.</w:t>
      </w:r>
    </w:p>
    <w:p w:rsidR="009A70E2" w:rsidRDefault="009A70E2" w:rsidP="003501B5">
      <w:pPr>
        <w:tabs>
          <w:tab w:val="left" w:pos="2295"/>
        </w:tabs>
        <w:bidi w:val="0"/>
        <w:spacing w:line="360" w:lineRule="auto"/>
        <w:rPr>
          <w:rFonts w:asciiTheme="majorBidi" w:hAnsiTheme="majorBidi" w:cstheme="majorBidi"/>
        </w:rPr>
      </w:pPr>
      <w:r w:rsidRPr="00282D55">
        <w:rPr>
          <w:rFonts w:asciiTheme="majorBidi" w:hAnsiTheme="majorBidi" w:cstheme="majorBidi"/>
        </w:rPr>
        <w:t>The number of the patients who had low WBC count (Leukopenia) was very low throughout the whole three week.</w:t>
      </w:r>
      <w:r>
        <w:rPr>
          <w:rFonts w:asciiTheme="majorBidi" w:hAnsiTheme="majorBidi" w:cstheme="majorBidi"/>
        </w:rPr>
        <w:t>We can say leucocytosis can be relied on in predicting infection in burn patients, but leucopenia can’t, this result does not agree with a study conducted in USA</w:t>
      </w:r>
      <w:r w:rsidR="006357E3">
        <w:rPr>
          <w:rFonts w:asciiTheme="majorBidi" w:hAnsiTheme="majorBidi" w:cstheme="majorBidi"/>
        </w:rPr>
        <w:fldChar w:fldCharType="begin"/>
      </w:r>
      <w:r w:rsidR="00661152">
        <w:rPr>
          <w:rFonts w:asciiTheme="majorBidi" w:hAnsiTheme="majorBidi" w:cstheme="majorBidi"/>
        </w:rPr>
        <w:instrText xml:space="preserve"> ADDIN EN.CITE &lt;EndNote&gt;&lt;Cite&gt;&lt;Author&gt;Murray&lt;/Author&gt;&lt;Year&gt;2007&lt;/Year&gt;&lt;RecNum&gt;36&lt;/RecNum&gt;&lt;DisplayText&gt;(48)&lt;/DisplayText&gt;&lt;record&gt;&lt;rec-number&gt;36&lt;/rec-number&gt;&lt;foreign-keys&gt;&lt;key app="EN" db-id="fpxxxaz24vpvwoe50sfxpwvpvx2s0wfs9dse" timestamp="1582822180"&gt;36&lt;/key&gt;&lt;/foreign-keys&gt;&lt;ref-type name="Journal Article"&gt;17&lt;/ref-type&gt;&lt;contributors&gt;&lt;authors&gt;&lt;author&gt;Murray, Clinton K&lt;/author&gt;&lt;author&gt;Hoffmaster, Roselle M&lt;/author&gt;&lt;author&gt;Schmit, David R&lt;/author&gt;&lt;author&gt;Hospenthal, Duane R&lt;/author&gt;&lt;author&gt;Ward, John A&lt;/author&gt;&lt;author&gt;Cancio, Leopoldo C&lt;/author&gt;&lt;author&gt;Wolf, Steven E&lt;/author&gt;&lt;/authors&gt;&lt;/contributors&gt;&lt;titles&gt;&lt;title&gt;Evaluation of white blood cell count, neutrophil percentage, and elevated temperature as predictors of bloodstream infection in burn patients&lt;/title&gt;&lt;secondary-title&gt;Archives of Surgery&lt;/secondary-title&gt;&lt;/titles&gt;&lt;periodical&gt;&lt;full-title&gt;Archives of Surgery&lt;/full-title&gt;&lt;/periodical&gt;&lt;pages&gt;639-642&lt;/pages&gt;&lt;volume&gt;142&lt;/volume&gt;&lt;number&gt;7&lt;/number&gt;&lt;dates&gt;&lt;year&gt;2007&lt;/year&gt;&lt;/dates&gt;&lt;isbn&gt;0004-0010&lt;/isbn&gt;&lt;urls&gt;&lt;/urls&gt;&lt;/record&gt;&lt;/Cite&gt;&lt;/EndNote&gt;</w:instrText>
      </w:r>
      <w:r w:rsidR="006357E3">
        <w:rPr>
          <w:rFonts w:asciiTheme="majorBidi" w:hAnsiTheme="majorBidi" w:cstheme="majorBidi"/>
        </w:rPr>
        <w:fldChar w:fldCharType="separate"/>
      </w:r>
      <w:r w:rsidR="00661152">
        <w:rPr>
          <w:rFonts w:asciiTheme="majorBidi" w:hAnsiTheme="majorBidi" w:cstheme="majorBidi"/>
          <w:noProof/>
        </w:rPr>
        <w:t>(48)</w:t>
      </w:r>
      <w:r w:rsidR="006357E3">
        <w:rPr>
          <w:rFonts w:asciiTheme="majorBidi" w:hAnsiTheme="majorBidi" w:cstheme="majorBidi"/>
        </w:rPr>
        <w:fldChar w:fldCharType="end"/>
      </w:r>
      <w:r w:rsidR="00661152">
        <w:rPr>
          <w:rFonts w:asciiTheme="majorBidi" w:hAnsiTheme="majorBidi" w:cstheme="majorBidi"/>
        </w:rPr>
        <w:t>.</w:t>
      </w:r>
    </w:p>
    <w:p w:rsidR="00661152" w:rsidRDefault="00661152" w:rsidP="00661152">
      <w:pPr>
        <w:tabs>
          <w:tab w:val="left" w:pos="2295"/>
        </w:tabs>
        <w:bidi w:val="0"/>
        <w:spacing w:line="360" w:lineRule="auto"/>
        <w:rPr>
          <w:rFonts w:asciiTheme="majorBidi" w:hAnsiTheme="majorBidi" w:cstheme="majorBidi"/>
        </w:rPr>
      </w:pPr>
      <w:r w:rsidRPr="00282D55">
        <w:rPr>
          <w:rFonts w:asciiTheme="majorBidi" w:hAnsiTheme="majorBidi" w:cstheme="majorBidi"/>
        </w:rPr>
        <w:t>Our study showed that most of the patients who had leukocytosis</w:t>
      </w:r>
      <w:r>
        <w:rPr>
          <w:rFonts w:asciiTheme="majorBidi" w:hAnsiTheme="majorBidi" w:cstheme="majorBidi"/>
        </w:rPr>
        <w:t xml:space="preserve"> in the first week</w:t>
      </w:r>
      <w:r w:rsidRPr="00282D55">
        <w:rPr>
          <w:rFonts w:asciiTheme="majorBidi" w:hAnsiTheme="majorBidi" w:cstheme="majorBidi"/>
        </w:rPr>
        <w:t xml:space="preserve"> were infected with pseudomonas aeruginosa</w:t>
      </w:r>
      <w:r>
        <w:rPr>
          <w:rFonts w:asciiTheme="majorBidi" w:hAnsiTheme="majorBidi" w:cstheme="majorBidi"/>
        </w:rPr>
        <w:t xml:space="preserve"> (40%)</w:t>
      </w:r>
      <w:r w:rsidRPr="00282D55">
        <w:rPr>
          <w:rFonts w:asciiTheme="majorBidi" w:hAnsiTheme="majorBidi" w:cstheme="majorBidi"/>
        </w:rPr>
        <w:t xml:space="preserve"> and staphylococcus aureus</w:t>
      </w:r>
      <w:r>
        <w:rPr>
          <w:rFonts w:asciiTheme="majorBidi" w:hAnsiTheme="majorBidi" w:cstheme="majorBidi"/>
        </w:rPr>
        <w:t xml:space="preserve"> (32.3)</w:t>
      </w:r>
      <w:r w:rsidRPr="00282D55">
        <w:rPr>
          <w:rFonts w:asciiTheme="majorBidi" w:hAnsiTheme="majorBidi" w:cstheme="majorBidi"/>
        </w:rPr>
        <w:t>.</w:t>
      </w:r>
      <w:r>
        <w:rPr>
          <w:rFonts w:asciiTheme="majorBidi" w:hAnsiTheme="majorBidi" w:cstheme="majorBidi"/>
        </w:rPr>
        <w:t xml:space="preserve"> In second the week</w:t>
      </w:r>
      <w:r w:rsidRPr="00282D55">
        <w:rPr>
          <w:rFonts w:asciiTheme="majorBidi" w:hAnsiTheme="majorBidi" w:cstheme="majorBidi"/>
        </w:rPr>
        <w:t>pseudomonas aeruginosa</w:t>
      </w:r>
      <w:r>
        <w:rPr>
          <w:rFonts w:asciiTheme="majorBidi" w:hAnsiTheme="majorBidi" w:cstheme="majorBidi"/>
        </w:rPr>
        <w:t xml:space="preserve"> (37%) and staohylococcus aureus (35%). The third week pseudomonas </w:t>
      </w:r>
      <w:r w:rsidRPr="00282D55">
        <w:rPr>
          <w:rFonts w:asciiTheme="majorBidi" w:hAnsiTheme="majorBidi" w:cstheme="majorBidi"/>
        </w:rPr>
        <w:t>aeruginosa</w:t>
      </w:r>
      <w:r>
        <w:rPr>
          <w:rFonts w:asciiTheme="majorBidi" w:hAnsiTheme="majorBidi" w:cstheme="majorBidi"/>
        </w:rPr>
        <w:t xml:space="preserve"> (36.7%) and staphylococcus aureus (34.4%).</w:t>
      </w:r>
    </w:p>
    <w:p w:rsidR="00A746D9" w:rsidRPr="00282D55" w:rsidRDefault="00A746D9" w:rsidP="003501B5">
      <w:pPr>
        <w:bidi w:val="0"/>
        <w:spacing w:line="360" w:lineRule="auto"/>
        <w:ind w:firstLine="720"/>
        <w:rPr>
          <w:rFonts w:asciiTheme="majorBidi" w:hAnsiTheme="majorBidi" w:cstheme="majorBidi"/>
        </w:rPr>
      </w:pPr>
      <w:r w:rsidRPr="00282D55">
        <w:rPr>
          <w:rFonts w:asciiTheme="majorBidi" w:hAnsiTheme="majorBidi" w:cstheme="majorBidi"/>
        </w:rPr>
        <w:t>In the first week 6 patients had leucopenia, they were infected with SS.aureus, Pseudomonas aeruginosa, Klebsiella pneumonia, Enterobacterskazakii</w:t>
      </w:r>
      <w:r>
        <w:rPr>
          <w:rFonts w:asciiTheme="majorBidi" w:hAnsiTheme="majorBidi" w:cstheme="majorBidi"/>
        </w:rPr>
        <w:t xml:space="preserve">. The second week </w:t>
      </w:r>
      <w:r w:rsidRPr="00282D55">
        <w:rPr>
          <w:rFonts w:asciiTheme="majorBidi" w:hAnsiTheme="majorBidi" w:cstheme="majorBidi"/>
        </w:rPr>
        <w:t>we had 3 cases that had leucopenia, they were infected with SS.aureus, Enterobacter cloacae, Klebsiella pneumonia</w:t>
      </w:r>
      <w:r>
        <w:rPr>
          <w:rFonts w:asciiTheme="majorBidi" w:hAnsiTheme="majorBidi" w:cstheme="majorBidi"/>
        </w:rPr>
        <w:t xml:space="preserve">. In the third week </w:t>
      </w:r>
      <w:r w:rsidRPr="00282D55">
        <w:rPr>
          <w:rFonts w:asciiTheme="majorBidi" w:hAnsiTheme="majorBidi" w:cstheme="majorBidi"/>
        </w:rPr>
        <w:t>we had one patient who had leucopenia, infected by Serratitaliquefaciens.</w:t>
      </w:r>
    </w:p>
    <w:p w:rsidR="00A746D9" w:rsidRDefault="00A746D9" w:rsidP="00A746D9">
      <w:pPr>
        <w:tabs>
          <w:tab w:val="left" w:pos="2295"/>
        </w:tabs>
        <w:bidi w:val="0"/>
        <w:spacing w:line="360" w:lineRule="auto"/>
        <w:rPr>
          <w:rFonts w:asciiTheme="majorBidi" w:hAnsiTheme="majorBidi" w:cstheme="majorBidi"/>
          <w:b/>
          <w:bCs/>
        </w:rPr>
      </w:pPr>
    </w:p>
    <w:p w:rsidR="00A21944" w:rsidRDefault="00A21944" w:rsidP="00A21944">
      <w:pPr>
        <w:tabs>
          <w:tab w:val="left" w:pos="2295"/>
        </w:tabs>
        <w:bidi w:val="0"/>
        <w:spacing w:line="360" w:lineRule="auto"/>
        <w:rPr>
          <w:rFonts w:asciiTheme="majorBidi" w:hAnsiTheme="majorBidi" w:cstheme="majorBidi"/>
          <w:b/>
          <w:bCs/>
        </w:rPr>
      </w:pPr>
    </w:p>
    <w:p w:rsidR="00A21944" w:rsidRPr="00282D55" w:rsidRDefault="00A21944" w:rsidP="00A21944">
      <w:pPr>
        <w:tabs>
          <w:tab w:val="left" w:pos="2295"/>
        </w:tabs>
        <w:bidi w:val="0"/>
        <w:spacing w:line="360" w:lineRule="auto"/>
        <w:rPr>
          <w:rFonts w:asciiTheme="majorBidi" w:hAnsiTheme="majorBidi" w:cstheme="majorBidi"/>
          <w:b/>
          <w:bCs/>
        </w:rPr>
      </w:pPr>
    </w:p>
    <w:p w:rsidR="009A70E2" w:rsidRPr="008B1190" w:rsidRDefault="009A70E2" w:rsidP="009A70E2">
      <w:pPr>
        <w:bidi w:val="0"/>
        <w:spacing w:line="360" w:lineRule="auto"/>
        <w:rPr>
          <w:rFonts w:eastAsiaTheme="minorEastAsia"/>
        </w:rPr>
      </w:pPr>
    </w:p>
    <w:p w:rsidR="004150E7" w:rsidRDefault="004150E7" w:rsidP="004150E7">
      <w:pPr>
        <w:bidi w:val="0"/>
        <w:spacing w:line="360" w:lineRule="auto"/>
      </w:pPr>
    </w:p>
    <w:p w:rsidR="00924872" w:rsidRDefault="00924872" w:rsidP="00924872">
      <w:pPr>
        <w:bidi w:val="0"/>
        <w:spacing w:line="360" w:lineRule="auto"/>
      </w:pPr>
    </w:p>
    <w:p w:rsidR="00924872" w:rsidRDefault="00924872" w:rsidP="00924872">
      <w:pPr>
        <w:bidi w:val="0"/>
        <w:spacing w:line="360" w:lineRule="auto"/>
      </w:pPr>
    </w:p>
    <w:p w:rsidR="00924872" w:rsidRDefault="00924872" w:rsidP="00924872">
      <w:pPr>
        <w:bidi w:val="0"/>
        <w:spacing w:line="360" w:lineRule="auto"/>
      </w:pPr>
    </w:p>
    <w:p w:rsidR="00924872" w:rsidRDefault="00924872" w:rsidP="00924872">
      <w:pPr>
        <w:bidi w:val="0"/>
        <w:spacing w:line="360" w:lineRule="auto"/>
      </w:pPr>
    </w:p>
    <w:p w:rsidR="00924872" w:rsidRDefault="00924872" w:rsidP="00924872">
      <w:pPr>
        <w:bidi w:val="0"/>
        <w:spacing w:line="360" w:lineRule="auto"/>
      </w:pPr>
    </w:p>
    <w:p w:rsidR="00924872" w:rsidRDefault="00924872" w:rsidP="00924872">
      <w:pPr>
        <w:bidi w:val="0"/>
        <w:spacing w:line="360" w:lineRule="auto"/>
      </w:pPr>
    </w:p>
    <w:p w:rsidR="00924872" w:rsidRDefault="00924872" w:rsidP="00924872">
      <w:pPr>
        <w:bidi w:val="0"/>
        <w:spacing w:line="360" w:lineRule="auto"/>
      </w:pPr>
    </w:p>
    <w:p w:rsidR="00456BC5" w:rsidRDefault="00456BC5" w:rsidP="00456BC5">
      <w:pPr>
        <w:bidi w:val="0"/>
        <w:spacing w:line="360" w:lineRule="auto"/>
      </w:pPr>
    </w:p>
    <w:p w:rsidR="00456BC5" w:rsidRDefault="00456BC5" w:rsidP="00456BC5">
      <w:pPr>
        <w:bidi w:val="0"/>
        <w:spacing w:line="360" w:lineRule="auto"/>
      </w:pPr>
    </w:p>
    <w:p w:rsidR="00456BC5" w:rsidRDefault="00456BC5" w:rsidP="00456BC5">
      <w:pPr>
        <w:bidi w:val="0"/>
        <w:spacing w:line="360" w:lineRule="auto"/>
      </w:pPr>
    </w:p>
    <w:p w:rsidR="00924872" w:rsidRPr="004150E7" w:rsidRDefault="00924872" w:rsidP="00924872">
      <w:pPr>
        <w:bidi w:val="0"/>
        <w:spacing w:line="360" w:lineRule="auto"/>
      </w:pPr>
    </w:p>
    <w:p w:rsidR="00DA536F" w:rsidRPr="00282D55" w:rsidRDefault="00DA536F" w:rsidP="00282D55">
      <w:pPr>
        <w:pStyle w:val="Heading1"/>
        <w:bidi w:val="0"/>
        <w:spacing w:line="360" w:lineRule="auto"/>
        <w:jc w:val="center"/>
        <w:rPr>
          <w:color w:val="auto"/>
        </w:rPr>
      </w:pPr>
      <w:bookmarkStart w:id="25" w:name="_Toc36963377"/>
      <w:r w:rsidRPr="00282D55">
        <w:rPr>
          <w:color w:val="auto"/>
        </w:rPr>
        <w:t>Conclusion and Recommendation</w:t>
      </w:r>
      <w:bookmarkEnd w:id="25"/>
    </w:p>
    <w:p w:rsidR="00FD7838" w:rsidRDefault="000D7016" w:rsidP="003501B5">
      <w:pPr>
        <w:pStyle w:val="Heading1"/>
        <w:bidi w:val="0"/>
        <w:spacing w:line="360" w:lineRule="auto"/>
        <w:ind w:left="3600" w:firstLine="720"/>
        <w:rPr>
          <w:color w:val="auto"/>
          <w:lang w:bidi="ar-IQ"/>
        </w:rPr>
      </w:pPr>
      <w:bookmarkStart w:id="26" w:name="_Toc36963378"/>
      <w:r w:rsidRPr="00282D55">
        <w:rPr>
          <w:color w:val="auto"/>
          <w:lang w:bidi="ar-IQ"/>
        </w:rPr>
        <w:t xml:space="preserve"> Conclusion</w:t>
      </w:r>
      <w:bookmarkEnd w:id="26"/>
    </w:p>
    <w:p w:rsidR="00A8161F" w:rsidRDefault="00A8161F" w:rsidP="003501B5">
      <w:pPr>
        <w:bidi w:val="0"/>
        <w:spacing w:line="360" w:lineRule="auto"/>
        <w:ind w:firstLine="720"/>
        <w:rPr>
          <w:lang w:bidi="ar-IQ"/>
        </w:rPr>
      </w:pPr>
      <w:r>
        <w:rPr>
          <w:lang w:bidi="ar-IQ"/>
        </w:rPr>
        <w:t>Leukocytosis can be a good predictor for infection in burns, especially when it happens in the second week and more</w:t>
      </w:r>
      <w:r>
        <w:rPr>
          <w:rtl/>
          <w:lang w:bidi="ar-IQ"/>
        </w:rPr>
        <w:t>.</w:t>
      </w:r>
      <w:r>
        <w:rPr>
          <w:lang w:bidi="ar-IQ"/>
        </w:rPr>
        <w:t xml:space="preserve">But it </w:t>
      </w:r>
      <w:r w:rsidR="0011196E">
        <w:rPr>
          <w:lang w:bidi="ar-IQ"/>
        </w:rPr>
        <w:t>cannot</w:t>
      </w:r>
      <w:r>
        <w:rPr>
          <w:lang w:bidi="ar-IQ"/>
        </w:rPr>
        <w:t xml:space="preserve"> be parameter distinguishing gram negative from gram possitive infections</w:t>
      </w:r>
      <w:r>
        <w:rPr>
          <w:rtl/>
          <w:lang w:bidi="ar-IQ"/>
        </w:rPr>
        <w:t>.</w:t>
      </w:r>
    </w:p>
    <w:p w:rsidR="00A8161F" w:rsidRDefault="002B5D5B" w:rsidP="002B5D5B">
      <w:pPr>
        <w:bidi w:val="0"/>
        <w:spacing w:line="360" w:lineRule="auto"/>
        <w:rPr>
          <w:lang w:bidi="ar-IQ"/>
        </w:rPr>
      </w:pPr>
      <w:r>
        <w:rPr>
          <w:lang w:bidi="ar-IQ"/>
        </w:rPr>
        <w:t xml:space="preserve">       </w:t>
      </w:r>
      <w:r w:rsidR="00A8161F">
        <w:rPr>
          <w:lang w:bidi="ar-IQ"/>
        </w:rPr>
        <w:t xml:space="preserve">Fever can be a prediction for infections, but again it </w:t>
      </w:r>
      <w:r w:rsidR="0011196E">
        <w:rPr>
          <w:lang w:bidi="ar-IQ"/>
        </w:rPr>
        <w:t>cannot</w:t>
      </w:r>
      <w:r w:rsidR="00A8161F">
        <w:rPr>
          <w:lang w:bidi="ar-IQ"/>
        </w:rPr>
        <w:t xml:space="preserve"> be</w:t>
      </w:r>
      <w:r w:rsidR="0011196E">
        <w:rPr>
          <w:lang w:bidi="ar-IQ"/>
        </w:rPr>
        <w:t xml:space="preserve"> used</w:t>
      </w:r>
      <w:r w:rsidR="00A8161F">
        <w:rPr>
          <w:lang w:bidi="ar-IQ"/>
        </w:rPr>
        <w:t xml:space="preserve"> a</w:t>
      </w:r>
      <w:r w:rsidR="0011196E">
        <w:rPr>
          <w:lang w:bidi="ar-IQ"/>
        </w:rPr>
        <w:t>s</w:t>
      </w:r>
      <w:r w:rsidR="00A8161F">
        <w:rPr>
          <w:lang w:bidi="ar-IQ"/>
        </w:rPr>
        <w:t xml:space="preserve"> significant finding to differentiate </w:t>
      </w:r>
      <w:r w:rsidR="0011196E">
        <w:rPr>
          <w:lang w:bidi="ar-IQ"/>
        </w:rPr>
        <w:t>infection caused by gram positive or</w:t>
      </w:r>
      <w:r w:rsidR="00A8161F">
        <w:rPr>
          <w:lang w:bidi="ar-IQ"/>
        </w:rPr>
        <w:t>gr</w:t>
      </w:r>
      <w:r w:rsidR="0011196E">
        <w:rPr>
          <w:lang w:bidi="ar-IQ"/>
        </w:rPr>
        <w:t>am negative bacteria</w:t>
      </w:r>
      <w:r w:rsidR="00A8161F">
        <w:rPr>
          <w:lang w:bidi="ar-IQ"/>
        </w:rPr>
        <w:t>. Also fever is mostly useful to be used as a sign of infection from second or 3rd week and above</w:t>
      </w:r>
      <w:r w:rsidR="00A8161F">
        <w:rPr>
          <w:rtl/>
          <w:lang w:bidi="ar-IQ"/>
        </w:rPr>
        <w:t>.</w:t>
      </w:r>
      <w:r>
        <w:rPr>
          <w:lang w:bidi="ar-IQ"/>
        </w:rPr>
        <w:t xml:space="preserve"> T</w:t>
      </w:r>
      <w:r w:rsidR="0011196E">
        <w:rPr>
          <w:lang w:bidi="ar-IQ"/>
        </w:rPr>
        <w:t>otal serum</w:t>
      </w:r>
      <w:r w:rsidR="00A8161F">
        <w:rPr>
          <w:lang w:bidi="ar-IQ"/>
        </w:rPr>
        <w:t xml:space="preserve"> protein and serum albumins are not good predictor that there is no or little change in their levels</w:t>
      </w:r>
      <w:r w:rsidR="00A8161F">
        <w:rPr>
          <w:rtl/>
          <w:lang w:bidi="ar-IQ"/>
        </w:rPr>
        <w:t>.</w:t>
      </w:r>
    </w:p>
    <w:p w:rsidR="00A8161F" w:rsidRDefault="00A8161F" w:rsidP="00F40D47">
      <w:pPr>
        <w:bidi w:val="0"/>
        <w:spacing w:line="360" w:lineRule="auto"/>
        <w:ind w:firstLine="720"/>
        <w:rPr>
          <w:lang w:bidi="ar-IQ"/>
        </w:rPr>
      </w:pPr>
      <w:r>
        <w:rPr>
          <w:lang w:bidi="ar-IQ"/>
        </w:rPr>
        <w:t>Kidney function test showed a statistically sign</w:t>
      </w:r>
      <w:r w:rsidR="0011196E">
        <w:rPr>
          <w:lang w:bidi="ar-IQ"/>
        </w:rPr>
        <w:t>ificant increase in non survived</w:t>
      </w:r>
      <w:r>
        <w:rPr>
          <w:lang w:bidi="ar-IQ"/>
        </w:rPr>
        <w:t xml:space="preserve"> patients</w:t>
      </w:r>
      <w:r>
        <w:rPr>
          <w:rtl/>
          <w:lang w:bidi="ar-IQ"/>
        </w:rPr>
        <w:t>.</w:t>
      </w:r>
    </w:p>
    <w:p w:rsidR="00A8161F" w:rsidRDefault="00A8161F" w:rsidP="00352E5B">
      <w:pPr>
        <w:bidi w:val="0"/>
        <w:spacing w:line="360" w:lineRule="auto"/>
        <w:rPr>
          <w:lang w:bidi="ar-IQ"/>
        </w:rPr>
      </w:pPr>
      <w:r>
        <w:rPr>
          <w:lang w:bidi="ar-IQ"/>
        </w:rPr>
        <w:t>Platelet count levels decreased during the first week, and then increased in second and third week. a significant decrease in platelet count which was observed in patients with moderate and severe burn injuries</w:t>
      </w:r>
      <w:r>
        <w:rPr>
          <w:rtl/>
          <w:lang w:bidi="ar-IQ"/>
        </w:rPr>
        <w:t>.</w:t>
      </w:r>
    </w:p>
    <w:p w:rsidR="00A8161F" w:rsidRPr="00A8161F" w:rsidRDefault="00A8161F" w:rsidP="00F40D47">
      <w:pPr>
        <w:bidi w:val="0"/>
        <w:spacing w:line="360" w:lineRule="auto"/>
        <w:ind w:firstLine="720"/>
        <w:rPr>
          <w:lang w:bidi="ar-IQ"/>
        </w:rPr>
      </w:pPr>
      <w:r>
        <w:rPr>
          <w:lang w:bidi="ar-IQ"/>
        </w:rPr>
        <w:t>Hematocrit level changes in the second and third weeks, but it can not be a significant finding to differentiate gram positive from gram negative infection.</w:t>
      </w:r>
    </w:p>
    <w:p w:rsidR="000D7016" w:rsidRPr="00282D55" w:rsidRDefault="000D7016" w:rsidP="003501B5">
      <w:pPr>
        <w:pStyle w:val="Heading1"/>
        <w:bidi w:val="0"/>
        <w:spacing w:line="360" w:lineRule="auto"/>
        <w:ind w:left="3600"/>
        <w:rPr>
          <w:color w:val="auto"/>
          <w:lang w:bidi="ar-IQ"/>
        </w:rPr>
      </w:pPr>
      <w:bookmarkStart w:id="27" w:name="_Toc36963379"/>
      <w:r w:rsidRPr="00282D55">
        <w:rPr>
          <w:color w:val="auto"/>
          <w:lang w:bidi="ar-IQ"/>
        </w:rPr>
        <w:t>Recommendation</w:t>
      </w:r>
      <w:bookmarkEnd w:id="27"/>
    </w:p>
    <w:p w:rsidR="008466D5" w:rsidRDefault="000D7016" w:rsidP="00D321FF">
      <w:pPr>
        <w:bidi w:val="0"/>
        <w:spacing w:line="360" w:lineRule="auto"/>
        <w:ind w:firstLine="720"/>
        <w:rPr>
          <w:lang w:bidi="ar-IQ"/>
        </w:rPr>
      </w:pPr>
      <w:r w:rsidRPr="00282D55">
        <w:rPr>
          <w:rFonts w:asciiTheme="majorBidi" w:hAnsiTheme="majorBidi" w:cstheme="majorBidi"/>
        </w:rPr>
        <w:t>To have basic background parameters for the patients and do regular rechecks to detect any change in the laboratory par</w:t>
      </w:r>
      <w:r w:rsidR="00F03F6D" w:rsidRPr="00282D55">
        <w:rPr>
          <w:rFonts w:asciiTheme="majorBidi" w:hAnsiTheme="majorBidi" w:cstheme="majorBidi"/>
        </w:rPr>
        <w:t>ameters as soon as they happen, i</w:t>
      </w:r>
      <w:r w:rsidRPr="00282D55">
        <w:rPr>
          <w:rFonts w:asciiTheme="majorBidi" w:hAnsiTheme="majorBidi" w:cstheme="majorBidi"/>
        </w:rPr>
        <w:t>nfections in burns can be detected or suspected when subtle changes happen in the background laboratory findings.</w:t>
      </w:r>
      <w:r w:rsidRPr="00282D55">
        <w:rPr>
          <w:rFonts w:asciiTheme="majorBidi" w:hAnsiTheme="majorBidi" w:cstheme="majorBidi"/>
        </w:rPr>
        <w:br/>
        <w:t>Better and more organized timely performing labo</w:t>
      </w:r>
      <w:r w:rsidR="00F03F6D" w:rsidRPr="00282D55">
        <w:rPr>
          <w:rFonts w:asciiTheme="majorBidi" w:hAnsiTheme="majorBidi" w:cstheme="majorBidi"/>
        </w:rPr>
        <w:t>ratory checks, b</w:t>
      </w:r>
      <w:r w:rsidRPr="00282D55">
        <w:rPr>
          <w:rFonts w:asciiTheme="majorBidi" w:hAnsiTheme="majorBidi" w:cstheme="majorBidi"/>
        </w:rPr>
        <w:t>etter timing of tissue culture or swab performing with the laborator</w:t>
      </w:r>
      <w:r w:rsidR="00F03F6D" w:rsidRPr="00282D55">
        <w:rPr>
          <w:rFonts w:asciiTheme="majorBidi" w:hAnsiTheme="majorBidi" w:cstheme="majorBidi"/>
        </w:rPr>
        <w:t>y investigations, so that more accurate</w:t>
      </w:r>
      <w:r w:rsidRPr="00282D55">
        <w:rPr>
          <w:rFonts w:asciiTheme="majorBidi" w:hAnsiTheme="majorBidi" w:cstheme="majorBidi"/>
        </w:rPr>
        <w:t xml:space="preserve"> correlations be</w:t>
      </w:r>
      <w:r w:rsidR="00F03F6D" w:rsidRPr="00282D55">
        <w:rPr>
          <w:rFonts w:asciiTheme="majorBidi" w:hAnsiTheme="majorBidi" w:cstheme="majorBidi"/>
        </w:rPr>
        <w:t xml:space="preserve"> found</w:t>
      </w:r>
      <w:r w:rsidRPr="00282D55">
        <w:rPr>
          <w:rFonts w:asciiTheme="majorBidi" w:hAnsiTheme="majorBidi" w:cstheme="majorBidi"/>
        </w:rPr>
        <w:t xml:space="preserve"> with the results of the previous procedure with the laboratory findings.</w:t>
      </w:r>
      <w:bookmarkStart w:id="28" w:name="_Toc36963380"/>
    </w:p>
    <w:p w:rsidR="00E964AD" w:rsidRPr="00282D55" w:rsidRDefault="00ED527E" w:rsidP="008466D5">
      <w:pPr>
        <w:pStyle w:val="Heading1"/>
        <w:bidi w:val="0"/>
        <w:spacing w:line="360" w:lineRule="auto"/>
        <w:jc w:val="center"/>
        <w:rPr>
          <w:color w:val="auto"/>
          <w:lang w:bidi="ar-IQ"/>
        </w:rPr>
      </w:pPr>
      <w:r w:rsidRPr="00282D55">
        <w:rPr>
          <w:color w:val="auto"/>
          <w:lang w:bidi="ar-IQ"/>
        </w:rPr>
        <w:t>References</w:t>
      </w:r>
      <w:bookmarkEnd w:id="28"/>
    </w:p>
    <w:p w:rsidR="0063434A" w:rsidRPr="00282D55" w:rsidRDefault="0063434A" w:rsidP="00282D55">
      <w:pPr>
        <w:bidi w:val="0"/>
        <w:spacing w:line="360" w:lineRule="auto"/>
        <w:rPr>
          <w:lang w:bidi="ar-IQ"/>
        </w:rPr>
      </w:pPr>
    </w:p>
    <w:p w:rsidR="00661152" w:rsidRPr="00661152" w:rsidRDefault="006357E3" w:rsidP="00661152">
      <w:pPr>
        <w:pStyle w:val="EndNoteBibliography"/>
        <w:bidi w:val="0"/>
      </w:pPr>
      <w:r w:rsidRPr="00282D55">
        <w:rPr>
          <w:lang w:bidi="ar-IQ"/>
        </w:rPr>
        <w:fldChar w:fldCharType="begin"/>
      </w:r>
      <w:r w:rsidR="0063434A" w:rsidRPr="00282D55">
        <w:rPr>
          <w:lang w:bidi="ar-IQ"/>
        </w:rPr>
        <w:instrText xml:space="preserve"> ADDIN EN.REFLIST </w:instrText>
      </w:r>
      <w:r w:rsidRPr="00282D55">
        <w:rPr>
          <w:lang w:bidi="ar-IQ"/>
        </w:rPr>
        <w:fldChar w:fldCharType="separate"/>
      </w:r>
      <w:r w:rsidR="00661152" w:rsidRPr="00661152">
        <w:t>1.</w:t>
      </w:r>
      <w:r w:rsidR="00661152" w:rsidRPr="00661152">
        <w:tab/>
        <w:t>Kalafa EG, Hixona K, Kadakia P, Dunn A, Sell S. 9.1. 1 Skin anatomy and physiology. Electrospun Materials for Tissue Engineering and Biomedical Applications: Research, Design and Commercialization. 2017:179.</w:t>
      </w:r>
    </w:p>
    <w:p w:rsidR="00661152" w:rsidRPr="00661152" w:rsidRDefault="00661152" w:rsidP="00661152">
      <w:pPr>
        <w:pStyle w:val="EndNoteBibliography"/>
        <w:bidi w:val="0"/>
      </w:pPr>
      <w:r w:rsidRPr="00661152">
        <w:t>2.</w:t>
      </w:r>
      <w:r w:rsidRPr="00661152">
        <w:tab/>
        <w:t>Wong R, Geyer S, Weninger W, Guimberteau JC, Wong JK. The dynamic anatomy and patterning of skin. Experimental dermatology. 2016;25(2):92-8.</w:t>
      </w:r>
    </w:p>
    <w:p w:rsidR="00661152" w:rsidRPr="00661152" w:rsidRDefault="00661152" w:rsidP="00661152">
      <w:pPr>
        <w:pStyle w:val="EndNoteBibliography"/>
        <w:bidi w:val="0"/>
      </w:pPr>
      <w:r w:rsidRPr="00661152">
        <w:t>3.</w:t>
      </w:r>
      <w:r w:rsidRPr="00661152">
        <w:tab/>
        <w:t>Hettiaratchy S, Dziewulski P. ABC of burns: Introduction. BMJ: British Medical Journal. 2004;328(7452):1366.</w:t>
      </w:r>
    </w:p>
    <w:p w:rsidR="00661152" w:rsidRPr="00661152" w:rsidRDefault="00661152" w:rsidP="00661152">
      <w:pPr>
        <w:pStyle w:val="EndNoteBibliography"/>
        <w:bidi w:val="0"/>
      </w:pPr>
      <w:r w:rsidRPr="00661152">
        <w:t>4.</w:t>
      </w:r>
      <w:r w:rsidRPr="00661152">
        <w:tab/>
        <w:t>Yesim Akpinar Kara. Burn Etiology and Pathogenesis. intechopen. May 23, 2018.</w:t>
      </w:r>
    </w:p>
    <w:p w:rsidR="00661152" w:rsidRPr="00661152" w:rsidRDefault="00661152" w:rsidP="00661152">
      <w:pPr>
        <w:pStyle w:val="EndNoteBibliography"/>
        <w:bidi w:val="0"/>
      </w:pPr>
      <w:r w:rsidRPr="00661152">
        <w:lastRenderedPageBreak/>
        <w:t>5.</w:t>
      </w:r>
      <w:r w:rsidRPr="00661152">
        <w:tab/>
        <w:t>Phillip L Rice J, Dennis P Orgill. Assessment and classification of burn injury. uptodate. Jun 17, 2019.</w:t>
      </w:r>
    </w:p>
    <w:p w:rsidR="00661152" w:rsidRPr="00661152" w:rsidRDefault="00661152" w:rsidP="00661152">
      <w:pPr>
        <w:pStyle w:val="EndNoteBibliography"/>
        <w:bidi w:val="0"/>
      </w:pPr>
      <w:r w:rsidRPr="00661152">
        <w:t>6.</w:t>
      </w:r>
      <w:r w:rsidRPr="00661152">
        <w:tab/>
        <w:t>Cobb Cynthia. Chemical Burns. Healthline. December 17, 2018.</w:t>
      </w:r>
    </w:p>
    <w:p w:rsidR="00661152" w:rsidRPr="00661152" w:rsidRDefault="00661152" w:rsidP="00661152">
      <w:pPr>
        <w:pStyle w:val="EndNoteBibliography"/>
        <w:bidi w:val="0"/>
      </w:pPr>
      <w:r w:rsidRPr="00661152">
        <w:t>7.</w:t>
      </w:r>
      <w:r w:rsidRPr="00661152">
        <w:tab/>
        <w:t>Chwistek Mrcin. Electrical Burns and Injuries. Winchester Hospital. 2018.</w:t>
      </w:r>
    </w:p>
    <w:p w:rsidR="00661152" w:rsidRPr="00661152" w:rsidRDefault="00661152" w:rsidP="00661152">
      <w:pPr>
        <w:pStyle w:val="EndNoteBibliography"/>
        <w:bidi w:val="0"/>
      </w:pPr>
      <w:r w:rsidRPr="00661152">
        <w:t>8.</w:t>
      </w:r>
      <w:r w:rsidRPr="00661152">
        <w:tab/>
        <w:t>Krisna Ananda. Electrical burn. DermNet NZ. September, 2015.</w:t>
      </w:r>
    </w:p>
    <w:p w:rsidR="00661152" w:rsidRPr="00661152" w:rsidRDefault="00661152" w:rsidP="00661152">
      <w:pPr>
        <w:pStyle w:val="EndNoteBibliography"/>
        <w:bidi w:val="0"/>
      </w:pPr>
      <w:r w:rsidRPr="00661152">
        <w:t>9.</w:t>
      </w:r>
      <w:r w:rsidRPr="00661152">
        <w:tab/>
        <w:t>Trauma &amp; Emergency Medicine. Types of Burns: Thermal, Electrical, and More. UPMC HealthBeat. September 1, 2017.</w:t>
      </w:r>
    </w:p>
    <w:p w:rsidR="00661152" w:rsidRPr="00661152" w:rsidRDefault="00661152" w:rsidP="00661152">
      <w:pPr>
        <w:pStyle w:val="EndNoteBibliography"/>
        <w:bidi w:val="0"/>
      </w:pPr>
      <w:r w:rsidRPr="00661152">
        <w:t>10.</w:t>
      </w:r>
      <w:r w:rsidRPr="00661152">
        <w:tab/>
        <w:t>Laura C. Simko, Emily A. Ohrtman, Gretchen J. Carrougher, Nicole S. Gibran. Understanding a Burn Injury. 2018.</w:t>
      </w:r>
    </w:p>
    <w:p w:rsidR="00661152" w:rsidRPr="00661152" w:rsidRDefault="00661152" w:rsidP="00661152">
      <w:pPr>
        <w:pStyle w:val="EndNoteBibliography"/>
        <w:bidi w:val="0"/>
      </w:pPr>
      <w:r w:rsidRPr="00661152">
        <w:t>11.</w:t>
      </w:r>
      <w:r w:rsidRPr="00661152">
        <w:tab/>
        <w:t>dreamsite.com. Skin burn. four degrees of burns. dreamsitecom.</w:t>
      </w:r>
    </w:p>
    <w:p w:rsidR="00661152" w:rsidRPr="00661152" w:rsidRDefault="00661152" w:rsidP="00661152">
      <w:pPr>
        <w:pStyle w:val="EndNoteBibliography"/>
        <w:bidi w:val="0"/>
      </w:pPr>
      <w:r w:rsidRPr="00661152">
        <w:t>12.</w:t>
      </w:r>
      <w:r w:rsidRPr="00661152">
        <w:tab/>
        <w:t>Thom D. Appraising current methods for preclinical calculation of burn size–A pre-hospital perspective. Burns. 2017;43(1):127-36.</w:t>
      </w:r>
    </w:p>
    <w:p w:rsidR="00661152" w:rsidRPr="00661152" w:rsidRDefault="00661152" w:rsidP="00661152">
      <w:pPr>
        <w:pStyle w:val="EndNoteBibliography"/>
        <w:bidi w:val="0"/>
      </w:pPr>
      <w:r w:rsidRPr="00661152">
        <w:t>13.</w:t>
      </w:r>
      <w:r w:rsidRPr="00661152">
        <w:tab/>
        <w:t>Hettiaratchy S, Papini R. Initial management of a major burn: II—assessment and resuscitation. Bmj. 2004;329(7457):101-3.</w:t>
      </w:r>
    </w:p>
    <w:p w:rsidR="00661152" w:rsidRPr="00661152" w:rsidRDefault="00661152" w:rsidP="00661152">
      <w:pPr>
        <w:pStyle w:val="EndNoteBibliography"/>
        <w:bidi w:val="0"/>
      </w:pPr>
      <w:r w:rsidRPr="00661152">
        <w:t>14.</w:t>
      </w:r>
      <w:r w:rsidRPr="00661152">
        <w:tab/>
        <w:t>Moore RA, Waheed A, Burns B. Rule of Nines.  StatPearls [Internet]: StatPearls Publishing; 2019.</w:t>
      </w:r>
    </w:p>
    <w:p w:rsidR="00661152" w:rsidRPr="00661152" w:rsidRDefault="00661152" w:rsidP="00661152">
      <w:pPr>
        <w:pStyle w:val="EndNoteBibliography"/>
        <w:bidi w:val="0"/>
      </w:pPr>
      <w:r w:rsidRPr="00661152">
        <w:t>15.</w:t>
      </w:r>
      <w:r w:rsidRPr="00661152">
        <w:tab/>
        <w:t>Wachtel TL, Berry CC, Wachtel EE, Frank HA. The inter-rater reliability of estimating the size of burns from various burn area chart drawings. Burns. 2000;26(2):156-70.</w:t>
      </w:r>
    </w:p>
    <w:p w:rsidR="00661152" w:rsidRPr="00661152" w:rsidRDefault="00661152" w:rsidP="00661152">
      <w:pPr>
        <w:pStyle w:val="EndNoteBibliography"/>
        <w:bidi w:val="0"/>
      </w:pPr>
      <w:r w:rsidRPr="00661152">
        <w:t>16.</w:t>
      </w:r>
      <w:r w:rsidRPr="00661152">
        <w:tab/>
        <w:t>SILLETT J. Remember, Remember... Burns and Scalds. east midlands emergency medicine educational media.</w:t>
      </w:r>
    </w:p>
    <w:p w:rsidR="00661152" w:rsidRPr="00661152" w:rsidRDefault="00661152" w:rsidP="00661152">
      <w:pPr>
        <w:pStyle w:val="EndNoteBibliography"/>
        <w:bidi w:val="0"/>
      </w:pPr>
      <w:r w:rsidRPr="00661152">
        <w:t>17.</w:t>
      </w:r>
      <w:r w:rsidRPr="00661152">
        <w:tab/>
        <w:t>Hossein Mortazavi AK, Husain Ali Khan and Shahrokh C. Bagheri. Head and Neck Burn Injury. pocketdentisrtycom.</w:t>
      </w:r>
    </w:p>
    <w:p w:rsidR="00661152" w:rsidRPr="00661152" w:rsidRDefault="00661152" w:rsidP="00661152">
      <w:pPr>
        <w:pStyle w:val="EndNoteBibliography"/>
        <w:bidi w:val="0"/>
      </w:pPr>
      <w:r w:rsidRPr="00661152">
        <w:t>18.</w:t>
      </w:r>
      <w:r w:rsidRPr="00661152">
        <w:tab/>
        <w:t>Garcia-Espinoza JA, Aguilar-Aragon VB, Ortiz-Villalobos EH, Garcia-Manzano RA , Antonio BA. Burns: Definition, Classification, Pathophysiology and Initial Approach. Genmed. September 22,2017.</w:t>
      </w:r>
    </w:p>
    <w:p w:rsidR="00661152" w:rsidRPr="00661152" w:rsidRDefault="00661152" w:rsidP="00661152">
      <w:pPr>
        <w:pStyle w:val="EndNoteBibliography"/>
        <w:bidi w:val="0"/>
      </w:pPr>
      <w:r w:rsidRPr="00661152">
        <w:t>19.</w:t>
      </w:r>
      <w:r w:rsidRPr="00661152">
        <w:tab/>
        <w:t>Katie Frantz CGB. Thermal Injury. vetfoliocom. Mar 8, 2019.</w:t>
      </w:r>
    </w:p>
    <w:p w:rsidR="00661152" w:rsidRPr="00661152" w:rsidRDefault="00661152" w:rsidP="00661152">
      <w:pPr>
        <w:pStyle w:val="EndNoteBibliography"/>
        <w:bidi w:val="0"/>
      </w:pPr>
      <w:r w:rsidRPr="00661152">
        <w:t>20.</w:t>
      </w:r>
      <w:r w:rsidRPr="00661152">
        <w:tab/>
        <w:t>Sen S, Hsei L, Tran N, Romanowski K, Palmieri T, Greenhalgh D, et al. Early clinical complete blood count changes in severe burn injuries. Burns. 2019;45(1):97-102.</w:t>
      </w:r>
    </w:p>
    <w:p w:rsidR="00661152" w:rsidRPr="00661152" w:rsidRDefault="00661152" w:rsidP="00661152">
      <w:pPr>
        <w:pStyle w:val="EndNoteBibliography"/>
        <w:bidi w:val="0"/>
      </w:pPr>
      <w:r w:rsidRPr="00661152">
        <w:t>21.</w:t>
      </w:r>
      <w:r w:rsidRPr="00661152">
        <w:tab/>
        <w:t>Jasem MA, Mahmood AE, AL-Ubadi AE, AL-Bahadli A. SERUM PROCALCITONIN CONCENTRATION VS. TOTAL AND DIFFERENTIAL WHITE BLOOD CELL COUNT IN IRAQI BURN INJURY PATIENTS. European Journal of Biomedical. 2017;4(01):63-8.</w:t>
      </w:r>
    </w:p>
    <w:p w:rsidR="00661152" w:rsidRPr="00661152" w:rsidRDefault="00661152" w:rsidP="00661152">
      <w:pPr>
        <w:pStyle w:val="EndNoteBibliography"/>
        <w:bidi w:val="0"/>
      </w:pPr>
      <w:r w:rsidRPr="00661152">
        <w:t>22.</w:t>
      </w:r>
      <w:r w:rsidRPr="00661152">
        <w:tab/>
        <w:t>Saleh SM. The effect of moderate and severe burn injuries on human liver, kidney &amp; blood (Biochemical study). Zagazig Journal of Forensic Medicine. 2018;16(1):91-102.</w:t>
      </w:r>
    </w:p>
    <w:p w:rsidR="00661152" w:rsidRPr="00661152" w:rsidRDefault="00661152" w:rsidP="00661152">
      <w:pPr>
        <w:pStyle w:val="EndNoteBibliography"/>
        <w:bidi w:val="0"/>
      </w:pPr>
      <w:r w:rsidRPr="00661152">
        <w:t>23.</w:t>
      </w:r>
      <w:r w:rsidRPr="00661152">
        <w:tab/>
        <w:t>Kim HS, Kwon HW, Yang HT, Chun W, Shin KS, Lee YK, et al. A Serial Study of Hematologic Change in Burned Patients. J Lab Med Qual Assur. 2011;33(1):9.</w:t>
      </w:r>
    </w:p>
    <w:p w:rsidR="00661152" w:rsidRPr="00661152" w:rsidRDefault="00661152" w:rsidP="00661152">
      <w:pPr>
        <w:pStyle w:val="EndNoteBibliography"/>
        <w:bidi w:val="0"/>
      </w:pPr>
      <w:r w:rsidRPr="00661152">
        <w:t>24.</w:t>
      </w:r>
      <w:r w:rsidRPr="00661152">
        <w:tab/>
        <w:t>Al-Muhammadi MO, Azeez HA. Some physiological changes in burn patients. Medical Journal of Babylon. 2011;8(3):303-19.</w:t>
      </w:r>
    </w:p>
    <w:p w:rsidR="00661152" w:rsidRPr="00661152" w:rsidRDefault="00661152" w:rsidP="00661152">
      <w:pPr>
        <w:pStyle w:val="EndNoteBibliography"/>
        <w:bidi w:val="0"/>
      </w:pPr>
      <w:r w:rsidRPr="00661152">
        <w:t>25.</w:t>
      </w:r>
      <w:r w:rsidRPr="00661152">
        <w:tab/>
        <w:t>Brusselaers N, Monstrey S, Vogelaers D, Hoste E, Blot S. Severe burn injury in Europe: a systematic review of the incidence, etiology, morbidity, and mortality. Critical care. 2010;14(5):R188.</w:t>
      </w:r>
    </w:p>
    <w:p w:rsidR="00661152" w:rsidRPr="00661152" w:rsidRDefault="00661152" w:rsidP="00661152">
      <w:pPr>
        <w:pStyle w:val="EndNoteBibliography"/>
        <w:bidi w:val="0"/>
      </w:pPr>
      <w:r w:rsidRPr="00661152">
        <w:t>26.</w:t>
      </w:r>
      <w:r w:rsidRPr="00661152">
        <w:tab/>
        <w:t>Lam N, Duc N, Son N. Outcome and risk factors for death of elderly burn patients: a case series in Vietnam. Annals of burns and fire disasters. 2019;32(2):87.</w:t>
      </w:r>
    </w:p>
    <w:p w:rsidR="00661152" w:rsidRPr="00661152" w:rsidRDefault="00661152" w:rsidP="00661152">
      <w:pPr>
        <w:pStyle w:val="EndNoteBibliography"/>
        <w:bidi w:val="0"/>
      </w:pPr>
      <w:r w:rsidRPr="00661152">
        <w:t>27.</w:t>
      </w:r>
      <w:r w:rsidRPr="00661152">
        <w:tab/>
        <w:t>Le HQ, Zamboni W, Eriksson E, Baldwin J. Burns in patients under 2 and over 70 years of age. Annals of plastic surgery. 1986;17(1):39-44.</w:t>
      </w:r>
    </w:p>
    <w:p w:rsidR="00661152" w:rsidRPr="00661152" w:rsidRDefault="00661152" w:rsidP="00661152">
      <w:pPr>
        <w:pStyle w:val="EndNoteBibliography"/>
        <w:bidi w:val="0"/>
      </w:pPr>
      <w:r w:rsidRPr="00661152">
        <w:t>28.</w:t>
      </w:r>
      <w:r w:rsidRPr="00661152">
        <w:tab/>
        <w:t>Pavoni V, Gianesello L, Paparella L, Buoninsegni LT, Barboni E. Outcome predictors and quality of life of severe burn patients admitted to intensive care unit. Scandinavian journal of trauma, resuscitation and emergency medicine. 2010;18(1):24.</w:t>
      </w:r>
    </w:p>
    <w:p w:rsidR="00661152" w:rsidRPr="00661152" w:rsidRDefault="00661152" w:rsidP="00661152">
      <w:pPr>
        <w:pStyle w:val="EndNoteBibliography"/>
        <w:bidi w:val="0"/>
      </w:pPr>
      <w:r w:rsidRPr="00661152">
        <w:t>29.</w:t>
      </w:r>
      <w:r w:rsidRPr="00661152">
        <w:tab/>
        <w:t>Jeschke MG, Pinto R, Kraft R, Nathens AB, Finnerty CC, Gamelli RL, et al. Morbidity and survival probability in burn patients in modern burn care. Critical care medicine. 2015;43(4):808.</w:t>
      </w:r>
    </w:p>
    <w:p w:rsidR="00661152" w:rsidRPr="00661152" w:rsidRDefault="00661152" w:rsidP="00661152">
      <w:pPr>
        <w:pStyle w:val="EndNoteBibliography"/>
        <w:bidi w:val="0"/>
      </w:pPr>
      <w:r w:rsidRPr="00661152">
        <w:t>30.</w:t>
      </w:r>
      <w:r w:rsidRPr="00661152">
        <w:tab/>
        <w:t>Kraft R, Herndon DN, Finnerty CC, Shahrokhi S, Jeschke MG. Occurrence of multi-organ dysfunction in pediatric burn patients-Incidence and clinical outcome. Annals of surgery. 2014;259(2):381.</w:t>
      </w:r>
    </w:p>
    <w:p w:rsidR="00661152" w:rsidRPr="00661152" w:rsidRDefault="00661152" w:rsidP="00661152">
      <w:pPr>
        <w:pStyle w:val="EndNoteBibliography"/>
        <w:bidi w:val="0"/>
      </w:pPr>
      <w:r w:rsidRPr="00661152">
        <w:t>31.</w:t>
      </w:r>
      <w:r w:rsidRPr="00661152">
        <w:tab/>
        <w:t>Kallinen O, Maisniemi K, Böhling T, Tukiainen E, Koljonen V. Multiple organ failure as a cause of death in patients with severe burns. Journal of burn care &amp; research. 2012;33(2):206-11.</w:t>
      </w:r>
    </w:p>
    <w:p w:rsidR="00661152" w:rsidRPr="00661152" w:rsidRDefault="00661152" w:rsidP="00661152">
      <w:pPr>
        <w:pStyle w:val="EndNoteBibliography"/>
        <w:bidi w:val="0"/>
      </w:pPr>
      <w:r w:rsidRPr="00661152">
        <w:lastRenderedPageBreak/>
        <w:t>32.</w:t>
      </w:r>
      <w:r w:rsidRPr="00661152">
        <w:tab/>
        <w:t>Aikawa N, Shinozawa Y, Ishibiki K, Abe O, Yamamoto S, Motegi M, et al. Clinical analysis of multiple organ failure in burned patients. Burns. 1987;13(2):103-9.</w:t>
      </w:r>
    </w:p>
    <w:p w:rsidR="00661152" w:rsidRPr="00661152" w:rsidRDefault="00661152" w:rsidP="00661152">
      <w:pPr>
        <w:pStyle w:val="EndNoteBibliography"/>
        <w:bidi w:val="0"/>
      </w:pPr>
      <w:r w:rsidRPr="00661152">
        <w:t>33.</w:t>
      </w:r>
      <w:r w:rsidRPr="00661152">
        <w:tab/>
        <w:t>Raz-Pasteur A, Hussein K, Finkelstein R, Ullmann Y, Egozi D. Blood stream infections (BSI) in severe burn patients—early and late BSI: a 9-year study. Burns. 2013;39(4):636-42.</w:t>
      </w:r>
    </w:p>
    <w:p w:rsidR="00661152" w:rsidRPr="00661152" w:rsidRDefault="00661152" w:rsidP="00661152">
      <w:pPr>
        <w:pStyle w:val="EndNoteBibliography"/>
        <w:bidi w:val="0"/>
      </w:pPr>
      <w:r w:rsidRPr="00661152">
        <w:t>34.</w:t>
      </w:r>
      <w:r w:rsidRPr="00661152">
        <w:tab/>
        <w:t>Fochtmann-Frana A, Freystätter C, Vorstandlechner V, Barth A, Bolliger M, Presterl E, et al. Incidence of risk factors for bloodstream infections in patients with major burns receiving intensive care: A retrospective single-center cohort study. Burns. 2018;44(4):784-92.</w:t>
      </w:r>
    </w:p>
    <w:p w:rsidR="00661152" w:rsidRPr="00661152" w:rsidRDefault="00661152" w:rsidP="00661152">
      <w:pPr>
        <w:pStyle w:val="EndNoteBibliography"/>
        <w:bidi w:val="0"/>
      </w:pPr>
      <w:r w:rsidRPr="00661152">
        <w:t>35.</w:t>
      </w:r>
      <w:r w:rsidRPr="00661152">
        <w:tab/>
        <w:t>Rezaei E, Safari H, Naderinasab M, Aliakbarian H. Common pathogens in burn wound and changes in their drug sensitivity. Burns. 2011;37(5):805-7.</w:t>
      </w:r>
    </w:p>
    <w:p w:rsidR="00661152" w:rsidRPr="00661152" w:rsidRDefault="00661152" w:rsidP="00661152">
      <w:pPr>
        <w:pStyle w:val="EndNoteBibliography"/>
        <w:bidi w:val="0"/>
      </w:pPr>
      <w:r w:rsidRPr="00661152">
        <w:t>36.</w:t>
      </w:r>
      <w:r w:rsidRPr="00661152">
        <w:tab/>
        <w:t>Forson O, Ayanka E, Olu-Taiwo M, Pappoe-Ashong P, Ayeh-Kumi P. Bacterial infections in burn wound patients at a tertiary teaching hospital in Accra, Ghana. Annals of burns and fire disasters. 2017;30(2):116.</w:t>
      </w:r>
    </w:p>
    <w:p w:rsidR="00661152" w:rsidRPr="00661152" w:rsidRDefault="00661152" w:rsidP="00661152">
      <w:pPr>
        <w:pStyle w:val="EndNoteBibliography"/>
        <w:bidi w:val="0"/>
      </w:pPr>
      <w:r w:rsidRPr="00661152">
        <w:t>37.</w:t>
      </w:r>
      <w:r w:rsidRPr="00661152">
        <w:tab/>
        <w:t>Rao SR, Lakshmi LJ, Pavani S, Kawle V, Prakash SJ. Bacteriological profile, Antibiogram of burn wound isolates and detection of MRSA and ESBL production at tertiary care hospital, Hyderabad. World Journal of Pharmacy and Pharmaceutical Sci. 2014;3(10):1691-8.</w:t>
      </w:r>
    </w:p>
    <w:p w:rsidR="00661152" w:rsidRPr="00661152" w:rsidRDefault="00661152" w:rsidP="00661152">
      <w:pPr>
        <w:pStyle w:val="EndNoteBibliography"/>
        <w:bidi w:val="0"/>
      </w:pPr>
      <w:r w:rsidRPr="00661152">
        <w:t>38.</w:t>
      </w:r>
      <w:r w:rsidRPr="00661152">
        <w:tab/>
        <w:t>Papini R. Management of burn injuries of various depths. Bmj. 2004;329(7458):158-60.</w:t>
      </w:r>
    </w:p>
    <w:p w:rsidR="00661152" w:rsidRPr="00661152" w:rsidRDefault="00661152" w:rsidP="00661152">
      <w:pPr>
        <w:pStyle w:val="EndNoteBibliography"/>
        <w:bidi w:val="0"/>
      </w:pPr>
      <w:r w:rsidRPr="00661152">
        <w:t>39.</w:t>
      </w:r>
      <w:r w:rsidRPr="00661152">
        <w:tab/>
        <w:t>Williams C. Successful assessment and management of burn injuries. Nursing Standard. 2009;23(32):53-9.</w:t>
      </w:r>
    </w:p>
    <w:p w:rsidR="00661152" w:rsidRPr="00661152" w:rsidRDefault="00661152" w:rsidP="00661152">
      <w:pPr>
        <w:pStyle w:val="EndNoteBibliography"/>
        <w:bidi w:val="0"/>
      </w:pPr>
      <w:r w:rsidRPr="00661152">
        <w:t>40.</w:t>
      </w:r>
      <w:r w:rsidRPr="00661152">
        <w:tab/>
        <w:t>Al-Shamsi M, Othman N. The epidemiology of burns in Basra, Iraq. Annals of burns and fire disasters. 2017;30(3):167.</w:t>
      </w:r>
    </w:p>
    <w:p w:rsidR="00661152" w:rsidRPr="00661152" w:rsidRDefault="00661152" w:rsidP="00661152">
      <w:pPr>
        <w:pStyle w:val="EndNoteBibliography"/>
        <w:bidi w:val="0"/>
      </w:pPr>
      <w:r w:rsidRPr="00661152">
        <w:t>41.</w:t>
      </w:r>
      <w:r w:rsidRPr="00661152">
        <w:tab/>
        <w:t>Ali S, Hamiz-ul-Fawwad S, Al-Ibran E, Ahmed G, Saleem A, Mustafa D, et al. Clinical and demographic features of burn injuries in Karachi: a six-year experience at the burns Centre, civil hospital, Karachi. Annals of burns and fire disasters. 2016;29(1):4.</w:t>
      </w:r>
    </w:p>
    <w:p w:rsidR="00661152" w:rsidRPr="00661152" w:rsidRDefault="00661152" w:rsidP="00661152">
      <w:pPr>
        <w:pStyle w:val="EndNoteBibliography"/>
        <w:bidi w:val="0"/>
      </w:pPr>
      <w:r w:rsidRPr="00661152">
        <w:t>42.</w:t>
      </w:r>
      <w:r w:rsidRPr="00661152">
        <w:tab/>
        <w:t>McGwin Jr G, George RL, Cross JM, Reiff DA, Chaudry IH, Rue III LW. Gender differences in mortality following burn injury. Shock. 2002;18(4):311-5.</w:t>
      </w:r>
    </w:p>
    <w:p w:rsidR="00661152" w:rsidRPr="00661152" w:rsidRDefault="00661152" w:rsidP="00661152">
      <w:pPr>
        <w:pStyle w:val="EndNoteBibliography"/>
        <w:bidi w:val="0"/>
      </w:pPr>
      <w:r w:rsidRPr="00661152">
        <w:t>43.</w:t>
      </w:r>
      <w:r w:rsidRPr="00661152">
        <w:tab/>
        <w:t>Gupta AK, Uppal S, Garg R, Gupta A, Pal R. A clinico-epidemiologic study of 892 patients with burn injuries at a tertiary care hospital in Punjab, India. Journal of emergencies, trauma and shock. 2011;4(1):7.</w:t>
      </w:r>
    </w:p>
    <w:p w:rsidR="00661152" w:rsidRPr="00661152" w:rsidRDefault="00661152" w:rsidP="00661152">
      <w:pPr>
        <w:pStyle w:val="EndNoteBibliography"/>
        <w:bidi w:val="0"/>
      </w:pPr>
      <w:r w:rsidRPr="00661152">
        <w:t>44.</w:t>
      </w:r>
      <w:r w:rsidRPr="00661152">
        <w:tab/>
        <w:t>Lari AR, Alaghehbandan R, Nikui R. Epidemiological study of 3341 burns patients during three years in Tehran, Iran. Burns. 2000;26(1):49-53.</w:t>
      </w:r>
    </w:p>
    <w:p w:rsidR="00661152" w:rsidRPr="00661152" w:rsidRDefault="00661152" w:rsidP="00661152">
      <w:pPr>
        <w:pStyle w:val="EndNoteBibliography"/>
        <w:bidi w:val="0"/>
      </w:pPr>
      <w:r w:rsidRPr="00661152">
        <w:t>45.</w:t>
      </w:r>
      <w:r w:rsidRPr="00661152">
        <w:tab/>
        <w:t>Lehnhardt M, Jafari HJ, Druecke D, Steinstraesser L, Steinau H, Klatte W, et al. A qualitative and quantitative analysis of protein loss in human burn wounds. Burns. 2005;31(2):159-67.</w:t>
      </w:r>
    </w:p>
    <w:p w:rsidR="00661152" w:rsidRPr="00661152" w:rsidRDefault="00661152" w:rsidP="00661152">
      <w:pPr>
        <w:pStyle w:val="EndNoteBibliography"/>
        <w:bidi w:val="0"/>
      </w:pPr>
      <w:r w:rsidRPr="00661152">
        <w:t>46.</w:t>
      </w:r>
      <w:r w:rsidRPr="00661152">
        <w:tab/>
        <w:t>Gupta S, Bhattacharya S, Goyal P. Role of first day levels and subsequent trends of serum proteins in acute burns. Journal of Acute Disease. 2018;7(1):31.</w:t>
      </w:r>
    </w:p>
    <w:p w:rsidR="00661152" w:rsidRPr="00661152" w:rsidRDefault="00661152" w:rsidP="00661152">
      <w:pPr>
        <w:pStyle w:val="EndNoteBibliography"/>
        <w:bidi w:val="0"/>
      </w:pPr>
      <w:r w:rsidRPr="00661152">
        <w:t>47.</w:t>
      </w:r>
      <w:r w:rsidRPr="00661152">
        <w:tab/>
        <w:t>Aguayo-Becerra OA, Torres-Garibay C, Macías-Amezcua MD, Fuentes-Orozco C, Chávez-Tostado MdG, Andalón-Dueñas E, et al. Serum albumin level as a risk factor for mortality in burn patients. Clinics. 2013;68(7):940-5.</w:t>
      </w:r>
    </w:p>
    <w:p w:rsidR="00661152" w:rsidRPr="00661152" w:rsidRDefault="00661152" w:rsidP="00661152">
      <w:pPr>
        <w:pStyle w:val="EndNoteBibliography"/>
        <w:bidi w:val="0"/>
      </w:pPr>
      <w:r w:rsidRPr="00661152">
        <w:t>48.</w:t>
      </w:r>
      <w:r w:rsidRPr="00661152">
        <w:tab/>
        <w:t>Murray CK, Hoffmaster RM, Schmit DR, Hospenthal DR, Ward JA, Cancio LC, et al. Evaluation of white blood cell count, neutrophil percentage, and elevated temperature as predictors of bloodstream infection in burn patients. Archives of Surgery. 2007;142(7):639-42.</w:t>
      </w:r>
    </w:p>
    <w:p w:rsidR="0090521C" w:rsidRDefault="006357E3" w:rsidP="00661152">
      <w:pPr>
        <w:bidi w:val="0"/>
        <w:spacing w:line="360" w:lineRule="auto"/>
        <w:rPr>
          <w:lang w:bidi="ar-IQ"/>
        </w:rPr>
      </w:pPr>
      <w:r w:rsidRPr="00282D55">
        <w:rPr>
          <w:lang w:bidi="ar-IQ"/>
        </w:rPr>
        <w:fldChar w:fldCharType="end"/>
      </w:r>
    </w:p>
    <w:p w:rsidR="007A3478" w:rsidRPr="00352E5B" w:rsidRDefault="007A3478" w:rsidP="007A3478">
      <w:pPr>
        <w:bidi w:val="0"/>
        <w:spacing w:line="360" w:lineRule="auto"/>
        <w:rPr>
          <w:lang w:bidi="ar-IQ"/>
        </w:rPr>
      </w:pPr>
    </w:p>
    <w:sectPr w:rsidR="007A3478" w:rsidRPr="00352E5B" w:rsidSect="00040269">
      <w:footerReference w:type="default" r:id="rId28"/>
      <w:pgSz w:w="11906" w:h="16838"/>
      <w:pgMar w:top="567" w:right="567" w:bottom="953" w:left="1134"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0C4" w:rsidRDefault="00CB70C4" w:rsidP="00AE6637">
      <w:r>
        <w:separator/>
      </w:r>
    </w:p>
  </w:endnote>
  <w:endnote w:type="continuationSeparator" w:id="1">
    <w:p w:rsidR="00CB70C4" w:rsidRDefault="00CB70C4" w:rsidP="00AE66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1338439"/>
      <w:docPartObj>
        <w:docPartGallery w:val="Page Numbers (Bottom of Page)"/>
        <w:docPartUnique/>
      </w:docPartObj>
    </w:sdtPr>
    <w:sdtContent>
      <w:p w:rsidR="00503F80" w:rsidRDefault="006357E3">
        <w:pPr>
          <w:pStyle w:val="Footer"/>
          <w:jc w:val="center"/>
        </w:pPr>
        <w:r>
          <w:fldChar w:fldCharType="begin"/>
        </w:r>
        <w:r w:rsidR="00503F80">
          <w:instrText xml:space="preserve"> PAGE   \* MERGEFORMAT </w:instrText>
        </w:r>
        <w:r>
          <w:fldChar w:fldCharType="separate"/>
        </w:r>
        <w:r w:rsidR="003F4CB7">
          <w:rPr>
            <w:noProof/>
            <w:rtl/>
          </w:rPr>
          <w:t>4</w:t>
        </w:r>
        <w:r>
          <w:rPr>
            <w:noProof/>
          </w:rPr>
          <w:fldChar w:fldCharType="end"/>
        </w:r>
      </w:p>
    </w:sdtContent>
  </w:sdt>
  <w:p w:rsidR="00503F80" w:rsidRDefault="00503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0C4" w:rsidRDefault="00CB70C4" w:rsidP="00AE6637">
      <w:r>
        <w:separator/>
      </w:r>
    </w:p>
  </w:footnote>
  <w:footnote w:type="continuationSeparator" w:id="1">
    <w:p w:rsidR="00CB70C4" w:rsidRDefault="00CB70C4" w:rsidP="00AE6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1FB"/>
    <w:multiLevelType w:val="hybridMultilevel"/>
    <w:tmpl w:val="F1B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44D58"/>
    <w:multiLevelType w:val="hybridMultilevel"/>
    <w:tmpl w:val="E0CC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34885"/>
    <w:multiLevelType w:val="hybridMultilevel"/>
    <w:tmpl w:val="C81C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82A88"/>
    <w:multiLevelType w:val="hybridMultilevel"/>
    <w:tmpl w:val="DF26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36BF4"/>
    <w:multiLevelType w:val="hybridMultilevel"/>
    <w:tmpl w:val="69C2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90129"/>
    <w:multiLevelType w:val="hybridMultilevel"/>
    <w:tmpl w:val="6EF6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E4C3F"/>
    <w:multiLevelType w:val="hybridMultilevel"/>
    <w:tmpl w:val="B5AC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61624"/>
    <w:multiLevelType w:val="hybridMultilevel"/>
    <w:tmpl w:val="47C6E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E5052"/>
    <w:multiLevelType w:val="hybridMultilevel"/>
    <w:tmpl w:val="28B2A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87DD5"/>
    <w:multiLevelType w:val="hybridMultilevel"/>
    <w:tmpl w:val="3D3E0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450A3"/>
    <w:multiLevelType w:val="hybridMultilevel"/>
    <w:tmpl w:val="76D661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8964E4"/>
    <w:multiLevelType w:val="hybridMultilevel"/>
    <w:tmpl w:val="8E8C3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296DEC"/>
    <w:multiLevelType w:val="hybridMultilevel"/>
    <w:tmpl w:val="95E6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72199"/>
    <w:multiLevelType w:val="hybridMultilevel"/>
    <w:tmpl w:val="52865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62B83"/>
    <w:multiLevelType w:val="hybridMultilevel"/>
    <w:tmpl w:val="EEC0D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213BC"/>
    <w:multiLevelType w:val="hybridMultilevel"/>
    <w:tmpl w:val="8814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F77453"/>
    <w:multiLevelType w:val="hybridMultilevel"/>
    <w:tmpl w:val="BBA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3B0956"/>
    <w:multiLevelType w:val="hybridMultilevel"/>
    <w:tmpl w:val="96E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4A53C7"/>
    <w:multiLevelType w:val="hybridMultilevel"/>
    <w:tmpl w:val="A726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25571"/>
    <w:multiLevelType w:val="hybridMultilevel"/>
    <w:tmpl w:val="3E10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3"/>
  </w:num>
  <w:num w:numId="4">
    <w:abstractNumId w:val="18"/>
  </w:num>
  <w:num w:numId="5">
    <w:abstractNumId w:val="5"/>
  </w:num>
  <w:num w:numId="6">
    <w:abstractNumId w:val="6"/>
  </w:num>
  <w:num w:numId="7">
    <w:abstractNumId w:val="9"/>
  </w:num>
  <w:num w:numId="8">
    <w:abstractNumId w:val="7"/>
  </w:num>
  <w:num w:numId="9">
    <w:abstractNumId w:val="14"/>
  </w:num>
  <w:num w:numId="10">
    <w:abstractNumId w:val="1"/>
  </w:num>
  <w:num w:numId="11">
    <w:abstractNumId w:val="0"/>
  </w:num>
  <w:num w:numId="12">
    <w:abstractNumId w:val="12"/>
  </w:num>
  <w:num w:numId="13">
    <w:abstractNumId w:val="8"/>
  </w:num>
  <w:num w:numId="14">
    <w:abstractNumId w:val="3"/>
  </w:num>
  <w:num w:numId="15">
    <w:abstractNumId w:val="16"/>
  </w:num>
  <w:num w:numId="16">
    <w:abstractNumId w:val="4"/>
  </w:num>
  <w:num w:numId="17">
    <w:abstractNumId w:val="2"/>
  </w:num>
  <w:num w:numId="18">
    <w:abstractNumId w:val="19"/>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xxxaz24vpvwoe50sfxpwvpvx2s0wfs9dse&quot;&gt;My EndNote Library&lt;record-ids&gt;&lt;item&gt;3&lt;/item&gt;&lt;item&gt;8&lt;/item&gt;&lt;item&gt;14&lt;/item&gt;&lt;item&gt;15&lt;/item&gt;&lt;item&gt;16&lt;/item&gt;&lt;item&gt;17&lt;/item&gt;&lt;item&gt;18&lt;/item&gt;&lt;item&gt;20&lt;/item&gt;&lt;item&gt;22&lt;/item&gt;&lt;item&gt;26&lt;/item&gt;&lt;item&gt;29&lt;/item&gt;&lt;item&gt;30&lt;/item&gt;&lt;item&gt;31&lt;/item&gt;&lt;item&gt;33&lt;/item&gt;&lt;item&gt;34&lt;/item&gt;&lt;item&gt;36&lt;/item&gt;&lt;item&gt;37&lt;/item&gt;&lt;item&gt;38&lt;/item&gt;&lt;item&gt;39&lt;/item&gt;&lt;item&gt;41&lt;/item&gt;&lt;item&gt;43&lt;/item&gt;&lt;item&gt;44&lt;/item&gt;&lt;item&gt;45&lt;/item&gt;&lt;item&gt;46&lt;/item&gt;&lt;item&gt;47&lt;/item&gt;&lt;item&gt;48&lt;/item&gt;&lt;item&gt;51&lt;/item&gt;&lt;item&gt;52&lt;/item&gt;&lt;item&gt;53&lt;/item&gt;&lt;item&gt;59&lt;/item&gt;&lt;item&gt;60&lt;/item&gt;&lt;item&gt;61&lt;/item&gt;&lt;item&gt;62&lt;/item&gt;&lt;item&gt;63&lt;/item&gt;&lt;item&gt;64&lt;/item&gt;&lt;item&gt;65&lt;/item&gt;&lt;item&gt;66&lt;/item&gt;&lt;item&gt;68&lt;/item&gt;&lt;item&gt;70&lt;/item&gt;&lt;item&gt;72&lt;/item&gt;&lt;item&gt;73&lt;/item&gt;&lt;item&gt;74&lt;/item&gt;&lt;item&gt;75&lt;/item&gt;&lt;item&gt;80&lt;/item&gt;&lt;item&gt;84&lt;/item&gt;&lt;item&gt;85&lt;/item&gt;&lt;item&gt;86&lt;/item&gt;&lt;item&gt;87&lt;/item&gt;&lt;/record-ids&gt;&lt;/item&gt;&lt;/Libraries&gt;"/>
  </w:docVars>
  <w:rsids>
    <w:rsidRoot w:val="00385830"/>
    <w:rsid w:val="00001EA5"/>
    <w:rsid w:val="00003853"/>
    <w:rsid w:val="000045DD"/>
    <w:rsid w:val="00006804"/>
    <w:rsid w:val="000111E9"/>
    <w:rsid w:val="00011B14"/>
    <w:rsid w:val="00011DAB"/>
    <w:rsid w:val="00014B5B"/>
    <w:rsid w:val="00020532"/>
    <w:rsid w:val="00023974"/>
    <w:rsid w:val="000276FE"/>
    <w:rsid w:val="00030B92"/>
    <w:rsid w:val="00031BC9"/>
    <w:rsid w:val="000329EF"/>
    <w:rsid w:val="00034017"/>
    <w:rsid w:val="000378DF"/>
    <w:rsid w:val="00040269"/>
    <w:rsid w:val="000460EB"/>
    <w:rsid w:val="00046663"/>
    <w:rsid w:val="000504A0"/>
    <w:rsid w:val="00055D5E"/>
    <w:rsid w:val="00061B2B"/>
    <w:rsid w:val="000637BB"/>
    <w:rsid w:val="00071C49"/>
    <w:rsid w:val="00075D99"/>
    <w:rsid w:val="00075FB7"/>
    <w:rsid w:val="0007793B"/>
    <w:rsid w:val="0008213D"/>
    <w:rsid w:val="000902E3"/>
    <w:rsid w:val="000965AD"/>
    <w:rsid w:val="000A0A5D"/>
    <w:rsid w:val="000A37A8"/>
    <w:rsid w:val="000B2C24"/>
    <w:rsid w:val="000B3439"/>
    <w:rsid w:val="000B4CC4"/>
    <w:rsid w:val="000B7910"/>
    <w:rsid w:val="000C067E"/>
    <w:rsid w:val="000C086C"/>
    <w:rsid w:val="000C11EE"/>
    <w:rsid w:val="000C14D9"/>
    <w:rsid w:val="000C436C"/>
    <w:rsid w:val="000C7E49"/>
    <w:rsid w:val="000D0E68"/>
    <w:rsid w:val="000D7016"/>
    <w:rsid w:val="000E4894"/>
    <w:rsid w:val="000E5F20"/>
    <w:rsid w:val="000F2E1C"/>
    <w:rsid w:val="001038B0"/>
    <w:rsid w:val="001039AF"/>
    <w:rsid w:val="00110B78"/>
    <w:rsid w:val="00110BB4"/>
    <w:rsid w:val="0011196E"/>
    <w:rsid w:val="00113888"/>
    <w:rsid w:val="00116E1D"/>
    <w:rsid w:val="001228F1"/>
    <w:rsid w:val="00125072"/>
    <w:rsid w:val="00126D4A"/>
    <w:rsid w:val="001331EF"/>
    <w:rsid w:val="00135832"/>
    <w:rsid w:val="001363FA"/>
    <w:rsid w:val="00136479"/>
    <w:rsid w:val="001425CE"/>
    <w:rsid w:val="00143A65"/>
    <w:rsid w:val="00144C64"/>
    <w:rsid w:val="00145F99"/>
    <w:rsid w:val="0016004B"/>
    <w:rsid w:val="00167720"/>
    <w:rsid w:val="00171B76"/>
    <w:rsid w:val="00171F9D"/>
    <w:rsid w:val="00175C6F"/>
    <w:rsid w:val="00180FAA"/>
    <w:rsid w:val="001867E9"/>
    <w:rsid w:val="00192A36"/>
    <w:rsid w:val="00194148"/>
    <w:rsid w:val="0019439E"/>
    <w:rsid w:val="00195D8A"/>
    <w:rsid w:val="00195FB3"/>
    <w:rsid w:val="00197941"/>
    <w:rsid w:val="001A0DF9"/>
    <w:rsid w:val="001A5939"/>
    <w:rsid w:val="001A5A9E"/>
    <w:rsid w:val="001A69CC"/>
    <w:rsid w:val="001B1631"/>
    <w:rsid w:val="001B6080"/>
    <w:rsid w:val="001C2679"/>
    <w:rsid w:val="001C5FB6"/>
    <w:rsid w:val="001D2745"/>
    <w:rsid w:val="001D4BEC"/>
    <w:rsid w:val="001D5F6D"/>
    <w:rsid w:val="001D66FE"/>
    <w:rsid w:val="001D6FC3"/>
    <w:rsid w:val="001E1F45"/>
    <w:rsid w:val="001E22BB"/>
    <w:rsid w:val="001F1105"/>
    <w:rsid w:val="001F11DF"/>
    <w:rsid w:val="001F650D"/>
    <w:rsid w:val="001F7EA6"/>
    <w:rsid w:val="00200AC2"/>
    <w:rsid w:val="00202882"/>
    <w:rsid w:val="00205B3C"/>
    <w:rsid w:val="002079EF"/>
    <w:rsid w:val="00207CD4"/>
    <w:rsid w:val="0021186A"/>
    <w:rsid w:val="00221710"/>
    <w:rsid w:val="00225B42"/>
    <w:rsid w:val="002265BB"/>
    <w:rsid w:val="00235797"/>
    <w:rsid w:val="0024079E"/>
    <w:rsid w:val="0024583F"/>
    <w:rsid w:val="0025057B"/>
    <w:rsid w:val="00256C01"/>
    <w:rsid w:val="00271C6E"/>
    <w:rsid w:val="0027339E"/>
    <w:rsid w:val="0027472A"/>
    <w:rsid w:val="002751DC"/>
    <w:rsid w:val="00275690"/>
    <w:rsid w:val="00282AA6"/>
    <w:rsid w:val="00282D55"/>
    <w:rsid w:val="00290568"/>
    <w:rsid w:val="002A0EAC"/>
    <w:rsid w:val="002A14CE"/>
    <w:rsid w:val="002A43BB"/>
    <w:rsid w:val="002A6435"/>
    <w:rsid w:val="002B1BAE"/>
    <w:rsid w:val="002B5D5B"/>
    <w:rsid w:val="002B65BF"/>
    <w:rsid w:val="002D0C2F"/>
    <w:rsid w:val="002D267A"/>
    <w:rsid w:val="002D6A5C"/>
    <w:rsid w:val="002D6C2F"/>
    <w:rsid w:val="002D7DD9"/>
    <w:rsid w:val="002E073F"/>
    <w:rsid w:val="002E3E7D"/>
    <w:rsid w:val="002E6D3D"/>
    <w:rsid w:val="002F36C7"/>
    <w:rsid w:val="002F470A"/>
    <w:rsid w:val="002F55ED"/>
    <w:rsid w:val="002F7A75"/>
    <w:rsid w:val="0030041F"/>
    <w:rsid w:val="00303D52"/>
    <w:rsid w:val="00303F71"/>
    <w:rsid w:val="00306541"/>
    <w:rsid w:val="00312773"/>
    <w:rsid w:val="0031499B"/>
    <w:rsid w:val="0032095A"/>
    <w:rsid w:val="00320F39"/>
    <w:rsid w:val="00321268"/>
    <w:rsid w:val="00321458"/>
    <w:rsid w:val="0032261F"/>
    <w:rsid w:val="00323BBC"/>
    <w:rsid w:val="0032405A"/>
    <w:rsid w:val="003258D4"/>
    <w:rsid w:val="00325E0A"/>
    <w:rsid w:val="0033368E"/>
    <w:rsid w:val="003371BE"/>
    <w:rsid w:val="00337C53"/>
    <w:rsid w:val="00342939"/>
    <w:rsid w:val="003438C3"/>
    <w:rsid w:val="00344847"/>
    <w:rsid w:val="00345779"/>
    <w:rsid w:val="003501B5"/>
    <w:rsid w:val="00350268"/>
    <w:rsid w:val="00352E5B"/>
    <w:rsid w:val="003660CB"/>
    <w:rsid w:val="00371A7C"/>
    <w:rsid w:val="00371BCB"/>
    <w:rsid w:val="003736A3"/>
    <w:rsid w:val="00375343"/>
    <w:rsid w:val="003837C2"/>
    <w:rsid w:val="00385093"/>
    <w:rsid w:val="00385830"/>
    <w:rsid w:val="00391B5F"/>
    <w:rsid w:val="003930C0"/>
    <w:rsid w:val="003963AA"/>
    <w:rsid w:val="003A0887"/>
    <w:rsid w:val="003A4521"/>
    <w:rsid w:val="003A4D6B"/>
    <w:rsid w:val="003A6BB7"/>
    <w:rsid w:val="003A762D"/>
    <w:rsid w:val="003B2A2E"/>
    <w:rsid w:val="003C5ED0"/>
    <w:rsid w:val="003C6D7A"/>
    <w:rsid w:val="003C7E78"/>
    <w:rsid w:val="003D007C"/>
    <w:rsid w:val="003D3AE7"/>
    <w:rsid w:val="003D7647"/>
    <w:rsid w:val="003E25E1"/>
    <w:rsid w:val="003E2DF8"/>
    <w:rsid w:val="003E4CE7"/>
    <w:rsid w:val="003E6064"/>
    <w:rsid w:val="003F4CB7"/>
    <w:rsid w:val="003F535D"/>
    <w:rsid w:val="003F5417"/>
    <w:rsid w:val="003F7F6F"/>
    <w:rsid w:val="004003E2"/>
    <w:rsid w:val="00401712"/>
    <w:rsid w:val="0040328A"/>
    <w:rsid w:val="00406A60"/>
    <w:rsid w:val="00411EB8"/>
    <w:rsid w:val="0041246D"/>
    <w:rsid w:val="004150E7"/>
    <w:rsid w:val="00415303"/>
    <w:rsid w:val="004162B9"/>
    <w:rsid w:val="00422620"/>
    <w:rsid w:val="004267CE"/>
    <w:rsid w:val="00432E1C"/>
    <w:rsid w:val="0043754F"/>
    <w:rsid w:val="00441FA7"/>
    <w:rsid w:val="0044230C"/>
    <w:rsid w:val="00442CBC"/>
    <w:rsid w:val="00447A60"/>
    <w:rsid w:val="0045576F"/>
    <w:rsid w:val="00456283"/>
    <w:rsid w:val="00456BC5"/>
    <w:rsid w:val="0046024F"/>
    <w:rsid w:val="004612E5"/>
    <w:rsid w:val="0046209D"/>
    <w:rsid w:val="00463254"/>
    <w:rsid w:val="004646C3"/>
    <w:rsid w:val="00472CC0"/>
    <w:rsid w:val="0048418C"/>
    <w:rsid w:val="0048439D"/>
    <w:rsid w:val="00491338"/>
    <w:rsid w:val="00493CB0"/>
    <w:rsid w:val="00495AA5"/>
    <w:rsid w:val="00496688"/>
    <w:rsid w:val="004A0EB4"/>
    <w:rsid w:val="004A2DC6"/>
    <w:rsid w:val="004A4920"/>
    <w:rsid w:val="004A6928"/>
    <w:rsid w:val="004B161F"/>
    <w:rsid w:val="004B399E"/>
    <w:rsid w:val="004B601B"/>
    <w:rsid w:val="004C0C1E"/>
    <w:rsid w:val="004C35A2"/>
    <w:rsid w:val="004D2217"/>
    <w:rsid w:val="004D2A66"/>
    <w:rsid w:val="004D3A5B"/>
    <w:rsid w:val="004D7EE7"/>
    <w:rsid w:val="004E17DA"/>
    <w:rsid w:val="004E1A72"/>
    <w:rsid w:val="004E1D4E"/>
    <w:rsid w:val="004E4E1B"/>
    <w:rsid w:val="004F277D"/>
    <w:rsid w:val="005000C3"/>
    <w:rsid w:val="00503F80"/>
    <w:rsid w:val="00505744"/>
    <w:rsid w:val="00510BA6"/>
    <w:rsid w:val="0051654C"/>
    <w:rsid w:val="00521713"/>
    <w:rsid w:val="00521B75"/>
    <w:rsid w:val="00522064"/>
    <w:rsid w:val="00532093"/>
    <w:rsid w:val="0053431E"/>
    <w:rsid w:val="005360C6"/>
    <w:rsid w:val="0054667D"/>
    <w:rsid w:val="00550E4C"/>
    <w:rsid w:val="005514D5"/>
    <w:rsid w:val="00552717"/>
    <w:rsid w:val="0055590D"/>
    <w:rsid w:val="00560A9B"/>
    <w:rsid w:val="00561555"/>
    <w:rsid w:val="00576B9B"/>
    <w:rsid w:val="0059100C"/>
    <w:rsid w:val="00591839"/>
    <w:rsid w:val="005921BD"/>
    <w:rsid w:val="00594814"/>
    <w:rsid w:val="00595541"/>
    <w:rsid w:val="005A0ED9"/>
    <w:rsid w:val="005A346D"/>
    <w:rsid w:val="005A5382"/>
    <w:rsid w:val="005B0BA9"/>
    <w:rsid w:val="005B6DFE"/>
    <w:rsid w:val="005C01A7"/>
    <w:rsid w:val="005C1697"/>
    <w:rsid w:val="005C5D37"/>
    <w:rsid w:val="005C6BA8"/>
    <w:rsid w:val="005C6DBE"/>
    <w:rsid w:val="005D15EF"/>
    <w:rsid w:val="005D4C1B"/>
    <w:rsid w:val="005E0CA3"/>
    <w:rsid w:val="005E1626"/>
    <w:rsid w:val="005E4BF5"/>
    <w:rsid w:val="005F3332"/>
    <w:rsid w:val="005F4DA3"/>
    <w:rsid w:val="006026D5"/>
    <w:rsid w:val="0060396B"/>
    <w:rsid w:val="006042EB"/>
    <w:rsid w:val="006078B4"/>
    <w:rsid w:val="006115B9"/>
    <w:rsid w:val="00611F8D"/>
    <w:rsid w:val="006144B8"/>
    <w:rsid w:val="006179C6"/>
    <w:rsid w:val="00621ED7"/>
    <w:rsid w:val="0062263C"/>
    <w:rsid w:val="006241A5"/>
    <w:rsid w:val="00631382"/>
    <w:rsid w:val="006336B2"/>
    <w:rsid w:val="0063434A"/>
    <w:rsid w:val="006357E3"/>
    <w:rsid w:val="006366E4"/>
    <w:rsid w:val="00641625"/>
    <w:rsid w:val="00641719"/>
    <w:rsid w:val="0065294E"/>
    <w:rsid w:val="00654845"/>
    <w:rsid w:val="0065710E"/>
    <w:rsid w:val="00660CDD"/>
    <w:rsid w:val="00661152"/>
    <w:rsid w:val="00662F35"/>
    <w:rsid w:val="00667D06"/>
    <w:rsid w:val="00673E90"/>
    <w:rsid w:val="0068150C"/>
    <w:rsid w:val="00693F16"/>
    <w:rsid w:val="00695837"/>
    <w:rsid w:val="006A2100"/>
    <w:rsid w:val="006B1006"/>
    <w:rsid w:val="006C1BB7"/>
    <w:rsid w:val="006C4225"/>
    <w:rsid w:val="006C4B23"/>
    <w:rsid w:val="006C7C47"/>
    <w:rsid w:val="006E12FD"/>
    <w:rsid w:val="006E6EDB"/>
    <w:rsid w:val="006F7CF1"/>
    <w:rsid w:val="007102F0"/>
    <w:rsid w:val="00711DA1"/>
    <w:rsid w:val="00722B3C"/>
    <w:rsid w:val="007240FB"/>
    <w:rsid w:val="00727BC7"/>
    <w:rsid w:val="007415C4"/>
    <w:rsid w:val="0074193C"/>
    <w:rsid w:val="00742066"/>
    <w:rsid w:val="00743B69"/>
    <w:rsid w:val="00746ACF"/>
    <w:rsid w:val="007524AF"/>
    <w:rsid w:val="0075464C"/>
    <w:rsid w:val="00754F55"/>
    <w:rsid w:val="007552BF"/>
    <w:rsid w:val="0075581D"/>
    <w:rsid w:val="00756D51"/>
    <w:rsid w:val="0076238C"/>
    <w:rsid w:val="00763046"/>
    <w:rsid w:val="007649E6"/>
    <w:rsid w:val="007710DF"/>
    <w:rsid w:val="00771694"/>
    <w:rsid w:val="0077264D"/>
    <w:rsid w:val="00780611"/>
    <w:rsid w:val="0079112C"/>
    <w:rsid w:val="00791260"/>
    <w:rsid w:val="00794621"/>
    <w:rsid w:val="007A1EE0"/>
    <w:rsid w:val="007A3478"/>
    <w:rsid w:val="007A49F0"/>
    <w:rsid w:val="007A7277"/>
    <w:rsid w:val="007B0D3C"/>
    <w:rsid w:val="007B4337"/>
    <w:rsid w:val="007B5611"/>
    <w:rsid w:val="007C0210"/>
    <w:rsid w:val="007D2971"/>
    <w:rsid w:val="007D33E1"/>
    <w:rsid w:val="007D3E21"/>
    <w:rsid w:val="007D4B5D"/>
    <w:rsid w:val="007D6CC3"/>
    <w:rsid w:val="007D724C"/>
    <w:rsid w:val="007E1BB9"/>
    <w:rsid w:val="007E1E3B"/>
    <w:rsid w:val="007E6D0F"/>
    <w:rsid w:val="007E7464"/>
    <w:rsid w:val="007F7963"/>
    <w:rsid w:val="00806C2C"/>
    <w:rsid w:val="008156B9"/>
    <w:rsid w:val="00817345"/>
    <w:rsid w:val="00820ED5"/>
    <w:rsid w:val="0082323B"/>
    <w:rsid w:val="008262E2"/>
    <w:rsid w:val="0082784F"/>
    <w:rsid w:val="008365FF"/>
    <w:rsid w:val="00843CB1"/>
    <w:rsid w:val="008466D5"/>
    <w:rsid w:val="008504F1"/>
    <w:rsid w:val="0085486A"/>
    <w:rsid w:val="00857891"/>
    <w:rsid w:val="008578B8"/>
    <w:rsid w:val="00861BA6"/>
    <w:rsid w:val="008628E3"/>
    <w:rsid w:val="00863997"/>
    <w:rsid w:val="008644A6"/>
    <w:rsid w:val="00865371"/>
    <w:rsid w:val="008654F4"/>
    <w:rsid w:val="008658C8"/>
    <w:rsid w:val="0086727F"/>
    <w:rsid w:val="0087236F"/>
    <w:rsid w:val="0087283E"/>
    <w:rsid w:val="00876E6B"/>
    <w:rsid w:val="00880B02"/>
    <w:rsid w:val="0088278B"/>
    <w:rsid w:val="00884A0D"/>
    <w:rsid w:val="00887034"/>
    <w:rsid w:val="00893745"/>
    <w:rsid w:val="008A00CF"/>
    <w:rsid w:val="008B1190"/>
    <w:rsid w:val="008C1BFA"/>
    <w:rsid w:val="008C3EC6"/>
    <w:rsid w:val="008D19F5"/>
    <w:rsid w:val="008E18A9"/>
    <w:rsid w:val="008E3CD9"/>
    <w:rsid w:val="008E53D2"/>
    <w:rsid w:val="008F144E"/>
    <w:rsid w:val="008F6589"/>
    <w:rsid w:val="009012EB"/>
    <w:rsid w:val="00901B1F"/>
    <w:rsid w:val="00903025"/>
    <w:rsid w:val="0090521C"/>
    <w:rsid w:val="009064C6"/>
    <w:rsid w:val="00910F6C"/>
    <w:rsid w:val="00911608"/>
    <w:rsid w:val="00913B0C"/>
    <w:rsid w:val="00914033"/>
    <w:rsid w:val="009216BF"/>
    <w:rsid w:val="009227C0"/>
    <w:rsid w:val="00922BC3"/>
    <w:rsid w:val="00923AE5"/>
    <w:rsid w:val="00924872"/>
    <w:rsid w:val="00924E94"/>
    <w:rsid w:val="009359AF"/>
    <w:rsid w:val="0094016A"/>
    <w:rsid w:val="00941062"/>
    <w:rsid w:val="00947B18"/>
    <w:rsid w:val="009520EE"/>
    <w:rsid w:val="00953648"/>
    <w:rsid w:val="00953A56"/>
    <w:rsid w:val="0096257E"/>
    <w:rsid w:val="00962E8B"/>
    <w:rsid w:val="00963B38"/>
    <w:rsid w:val="00966BCD"/>
    <w:rsid w:val="00971F7D"/>
    <w:rsid w:val="009740C5"/>
    <w:rsid w:val="0098255F"/>
    <w:rsid w:val="00987FC5"/>
    <w:rsid w:val="009907F0"/>
    <w:rsid w:val="009946D0"/>
    <w:rsid w:val="0099775C"/>
    <w:rsid w:val="009A70E2"/>
    <w:rsid w:val="009B4A66"/>
    <w:rsid w:val="009C1251"/>
    <w:rsid w:val="009C7BDF"/>
    <w:rsid w:val="009D0235"/>
    <w:rsid w:val="009D2404"/>
    <w:rsid w:val="009D3AEA"/>
    <w:rsid w:val="009D3C38"/>
    <w:rsid w:val="009D42AA"/>
    <w:rsid w:val="009D4417"/>
    <w:rsid w:val="009D5413"/>
    <w:rsid w:val="009D5F7A"/>
    <w:rsid w:val="009E145C"/>
    <w:rsid w:val="009F1062"/>
    <w:rsid w:val="009F3C4D"/>
    <w:rsid w:val="009F4A88"/>
    <w:rsid w:val="009F581D"/>
    <w:rsid w:val="00A127C7"/>
    <w:rsid w:val="00A14BE6"/>
    <w:rsid w:val="00A14F14"/>
    <w:rsid w:val="00A16C4E"/>
    <w:rsid w:val="00A17C30"/>
    <w:rsid w:val="00A21944"/>
    <w:rsid w:val="00A22E9C"/>
    <w:rsid w:val="00A2526C"/>
    <w:rsid w:val="00A2574C"/>
    <w:rsid w:val="00A25C32"/>
    <w:rsid w:val="00A25EA6"/>
    <w:rsid w:val="00A26D35"/>
    <w:rsid w:val="00A3373F"/>
    <w:rsid w:val="00A374E6"/>
    <w:rsid w:val="00A37979"/>
    <w:rsid w:val="00A41D3A"/>
    <w:rsid w:val="00A4434C"/>
    <w:rsid w:val="00A44429"/>
    <w:rsid w:val="00A519AC"/>
    <w:rsid w:val="00A55E2F"/>
    <w:rsid w:val="00A571E7"/>
    <w:rsid w:val="00A57B69"/>
    <w:rsid w:val="00A648C0"/>
    <w:rsid w:val="00A723B4"/>
    <w:rsid w:val="00A746D9"/>
    <w:rsid w:val="00A76F55"/>
    <w:rsid w:val="00A76FA3"/>
    <w:rsid w:val="00A8161F"/>
    <w:rsid w:val="00A83281"/>
    <w:rsid w:val="00A8777E"/>
    <w:rsid w:val="00A9389D"/>
    <w:rsid w:val="00A93FBA"/>
    <w:rsid w:val="00AA32E3"/>
    <w:rsid w:val="00AA33EB"/>
    <w:rsid w:val="00AA4D73"/>
    <w:rsid w:val="00AA5060"/>
    <w:rsid w:val="00AB2567"/>
    <w:rsid w:val="00AB3D01"/>
    <w:rsid w:val="00AB5C77"/>
    <w:rsid w:val="00AC058C"/>
    <w:rsid w:val="00AC3739"/>
    <w:rsid w:val="00AC3D17"/>
    <w:rsid w:val="00AD15A2"/>
    <w:rsid w:val="00AD31B5"/>
    <w:rsid w:val="00AD36C4"/>
    <w:rsid w:val="00AD5C0E"/>
    <w:rsid w:val="00AE1657"/>
    <w:rsid w:val="00AE4F27"/>
    <w:rsid w:val="00AE57C6"/>
    <w:rsid w:val="00AE5A33"/>
    <w:rsid w:val="00AE6637"/>
    <w:rsid w:val="00AE7A09"/>
    <w:rsid w:val="00AF3658"/>
    <w:rsid w:val="00AF7630"/>
    <w:rsid w:val="00B03471"/>
    <w:rsid w:val="00B07298"/>
    <w:rsid w:val="00B120D6"/>
    <w:rsid w:val="00B26367"/>
    <w:rsid w:val="00B27139"/>
    <w:rsid w:val="00B276B8"/>
    <w:rsid w:val="00B27F70"/>
    <w:rsid w:val="00B30FE0"/>
    <w:rsid w:val="00B34A4D"/>
    <w:rsid w:val="00B37833"/>
    <w:rsid w:val="00B42C01"/>
    <w:rsid w:val="00B61893"/>
    <w:rsid w:val="00B829C2"/>
    <w:rsid w:val="00B85884"/>
    <w:rsid w:val="00B86C92"/>
    <w:rsid w:val="00B90CF7"/>
    <w:rsid w:val="00B956EC"/>
    <w:rsid w:val="00BA23F0"/>
    <w:rsid w:val="00BA24C3"/>
    <w:rsid w:val="00BA7FD1"/>
    <w:rsid w:val="00BB299D"/>
    <w:rsid w:val="00BB5120"/>
    <w:rsid w:val="00BB5EC5"/>
    <w:rsid w:val="00BB5F57"/>
    <w:rsid w:val="00BC03E8"/>
    <w:rsid w:val="00BC27F3"/>
    <w:rsid w:val="00BC4D3A"/>
    <w:rsid w:val="00BC68D6"/>
    <w:rsid w:val="00BD6642"/>
    <w:rsid w:val="00BE0CDC"/>
    <w:rsid w:val="00BE4467"/>
    <w:rsid w:val="00BF322F"/>
    <w:rsid w:val="00C0652D"/>
    <w:rsid w:val="00C077BC"/>
    <w:rsid w:val="00C135FC"/>
    <w:rsid w:val="00C15773"/>
    <w:rsid w:val="00C168A1"/>
    <w:rsid w:val="00C20C18"/>
    <w:rsid w:val="00C27C4C"/>
    <w:rsid w:val="00C34A23"/>
    <w:rsid w:val="00C359BE"/>
    <w:rsid w:val="00C36C97"/>
    <w:rsid w:val="00C40D2D"/>
    <w:rsid w:val="00C41CB5"/>
    <w:rsid w:val="00C44DCC"/>
    <w:rsid w:val="00C4561C"/>
    <w:rsid w:val="00C51EA3"/>
    <w:rsid w:val="00C5315D"/>
    <w:rsid w:val="00C57A03"/>
    <w:rsid w:val="00C60FC8"/>
    <w:rsid w:val="00C63FBB"/>
    <w:rsid w:val="00C65FF6"/>
    <w:rsid w:val="00C67A04"/>
    <w:rsid w:val="00C84F29"/>
    <w:rsid w:val="00C92C27"/>
    <w:rsid w:val="00CA4A00"/>
    <w:rsid w:val="00CA696C"/>
    <w:rsid w:val="00CA7530"/>
    <w:rsid w:val="00CB70C4"/>
    <w:rsid w:val="00CC3C0B"/>
    <w:rsid w:val="00CC6EDA"/>
    <w:rsid w:val="00CC79CD"/>
    <w:rsid w:val="00CD1F82"/>
    <w:rsid w:val="00CD2E2D"/>
    <w:rsid w:val="00CE31C9"/>
    <w:rsid w:val="00CE3592"/>
    <w:rsid w:val="00CF27B0"/>
    <w:rsid w:val="00CF32A4"/>
    <w:rsid w:val="00CF510B"/>
    <w:rsid w:val="00CF6BA5"/>
    <w:rsid w:val="00CF76F6"/>
    <w:rsid w:val="00D01080"/>
    <w:rsid w:val="00D06FC3"/>
    <w:rsid w:val="00D116C3"/>
    <w:rsid w:val="00D11FD7"/>
    <w:rsid w:val="00D12BB3"/>
    <w:rsid w:val="00D142EE"/>
    <w:rsid w:val="00D155EA"/>
    <w:rsid w:val="00D1793E"/>
    <w:rsid w:val="00D278A1"/>
    <w:rsid w:val="00D30EC9"/>
    <w:rsid w:val="00D31F64"/>
    <w:rsid w:val="00D321FF"/>
    <w:rsid w:val="00D322EC"/>
    <w:rsid w:val="00D34F9F"/>
    <w:rsid w:val="00D450B3"/>
    <w:rsid w:val="00D4643A"/>
    <w:rsid w:val="00D47F35"/>
    <w:rsid w:val="00D50580"/>
    <w:rsid w:val="00D51815"/>
    <w:rsid w:val="00D60013"/>
    <w:rsid w:val="00D669C6"/>
    <w:rsid w:val="00D709E7"/>
    <w:rsid w:val="00D71323"/>
    <w:rsid w:val="00D8726A"/>
    <w:rsid w:val="00D9154E"/>
    <w:rsid w:val="00D94574"/>
    <w:rsid w:val="00D94834"/>
    <w:rsid w:val="00D9586A"/>
    <w:rsid w:val="00D967AC"/>
    <w:rsid w:val="00D969CF"/>
    <w:rsid w:val="00D9778F"/>
    <w:rsid w:val="00DA536F"/>
    <w:rsid w:val="00DA5BA1"/>
    <w:rsid w:val="00DB0437"/>
    <w:rsid w:val="00DB2133"/>
    <w:rsid w:val="00DB6D64"/>
    <w:rsid w:val="00DC2523"/>
    <w:rsid w:val="00DC349F"/>
    <w:rsid w:val="00DC379C"/>
    <w:rsid w:val="00DC4A74"/>
    <w:rsid w:val="00DC60C1"/>
    <w:rsid w:val="00DD0DF5"/>
    <w:rsid w:val="00DD18CF"/>
    <w:rsid w:val="00DD3D1C"/>
    <w:rsid w:val="00DD47C8"/>
    <w:rsid w:val="00DD79E5"/>
    <w:rsid w:val="00DF111B"/>
    <w:rsid w:val="00DF2592"/>
    <w:rsid w:val="00E0546B"/>
    <w:rsid w:val="00E1227A"/>
    <w:rsid w:val="00E1667D"/>
    <w:rsid w:val="00E1753B"/>
    <w:rsid w:val="00E22E52"/>
    <w:rsid w:val="00E3245D"/>
    <w:rsid w:val="00E347A7"/>
    <w:rsid w:val="00E4108D"/>
    <w:rsid w:val="00E44566"/>
    <w:rsid w:val="00E4567A"/>
    <w:rsid w:val="00E4584C"/>
    <w:rsid w:val="00E50DE4"/>
    <w:rsid w:val="00E557A1"/>
    <w:rsid w:val="00E557FE"/>
    <w:rsid w:val="00E629A1"/>
    <w:rsid w:val="00E6419E"/>
    <w:rsid w:val="00E701F8"/>
    <w:rsid w:val="00E7093B"/>
    <w:rsid w:val="00E71666"/>
    <w:rsid w:val="00E724A7"/>
    <w:rsid w:val="00E72B4E"/>
    <w:rsid w:val="00E748D1"/>
    <w:rsid w:val="00E80331"/>
    <w:rsid w:val="00E94F1A"/>
    <w:rsid w:val="00E964AD"/>
    <w:rsid w:val="00EA47E9"/>
    <w:rsid w:val="00EA5D48"/>
    <w:rsid w:val="00EA6347"/>
    <w:rsid w:val="00EA79AD"/>
    <w:rsid w:val="00EB02CE"/>
    <w:rsid w:val="00EB3080"/>
    <w:rsid w:val="00EC123A"/>
    <w:rsid w:val="00EC15DA"/>
    <w:rsid w:val="00ED067D"/>
    <w:rsid w:val="00ED2B24"/>
    <w:rsid w:val="00ED2EC0"/>
    <w:rsid w:val="00ED4DD3"/>
    <w:rsid w:val="00ED527E"/>
    <w:rsid w:val="00EE1439"/>
    <w:rsid w:val="00EE1B37"/>
    <w:rsid w:val="00EF6511"/>
    <w:rsid w:val="00EF660E"/>
    <w:rsid w:val="00F0224C"/>
    <w:rsid w:val="00F02D8A"/>
    <w:rsid w:val="00F03F6D"/>
    <w:rsid w:val="00F04C23"/>
    <w:rsid w:val="00F0505C"/>
    <w:rsid w:val="00F13B0E"/>
    <w:rsid w:val="00F16CFE"/>
    <w:rsid w:val="00F2032F"/>
    <w:rsid w:val="00F30DEE"/>
    <w:rsid w:val="00F31808"/>
    <w:rsid w:val="00F339F7"/>
    <w:rsid w:val="00F3644F"/>
    <w:rsid w:val="00F40D47"/>
    <w:rsid w:val="00F4352E"/>
    <w:rsid w:val="00F46EAC"/>
    <w:rsid w:val="00F5024E"/>
    <w:rsid w:val="00F52A80"/>
    <w:rsid w:val="00F53753"/>
    <w:rsid w:val="00F55CF5"/>
    <w:rsid w:val="00F56571"/>
    <w:rsid w:val="00F56770"/>
    <w:rsid w:val="00F57892"/>
    <w:rsid w:val="00F609B2"/>
    <w:rsid w:val="00F6235F"/>
    <w:rsid w:val="00F733FB"/>
    <w:rsid w:val="00F77781"/>
    <w:rsid w:val="00F82540"/>
    <w:rsid w:val="00F84A1A"/>
    <w:rsid w:val="00F85A3B"/>
    <w:rsid w:val="00F85D7D"/>
    <w:rsid w:val="00F940F2"/>
    <w:rsid w:val="00F95302"/>
    <w:rsid w:val="00F95E7B"/>
    <w:rsid w:val="00FA31BF"/>
    <w:rsid w:val="00FA483B"/>
    <w:rsid w:val="00FA7A26"/>
    <w:rsid w:val="00FB7E5E"/>
    <w:rsid w:val="00FC4B25"/>
    <w:rsid w:val="00FC6177"/>
    <w:rsid w:val="00FC7769"/>
    <w:rsid w:val="00FC7E25"/>
    <w:rsid w:val="00FD1F3E"/>
    <w:rsid w:val="00FD3FCE"/>
    <w:rsid w:val="00FD402B"/>
    <w:rsid w:val="00FD7838"/>
    <w:rsid w:val="00FE53DA"/>
    <w:rsid w:val="00FE76B3"/>
    <w:rsid w:val="00FF5325"/>
    <w:rsid w:val="00FF64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0D"/>
    <w:pPr>
      <w:bidi/>
    </w:pPr>
    <w:rPr>
      <w:sz w:val="24"/>
      <w:szCs w:val="24"/>
    </w:rPr>
  </w:style>
  <w:style w:type="paragraph" w:styleId="Heading1">
    <w:name w:val="heading 1"/>
    <w:basedOn w:val="Normal"/>
    <w:next w:val="Normal"/>
    <w:link w:val="Heading1Char"/>
    <w:qFormat/>
    <w:rsid w:val="00ED4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05B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DD3"/>
    <w:rPr>
      <w:rFonts w:asciiTheme="majorHAnsi" w:eastAsiaTheme="majorEastAsia" w:hAnsiTheme="majorHAnsi" w:cstheme="majorBidi"/>
      <w:b/>
      <w:bCs/>
      <w:color w:val="365F91" w:themeColor="accent1" w:themeShade="BF"/>
      <w:sz w:val="28"/>
      <w:szCs w:val="28"/>
    </w:rPr>
  </w:style>
  <w:style w:type="paragraph" w:customStyle="1" w:styleId="EndNoteBibliographyTitle">
    <w:name w:val="EndNote Bibliography Title"/>
    <w:basedOn w:val="Normal"/>
    <w:link w:val="EndNoteBibliographyTitleChar"/>
    <w:rsid w:val="0063434A"/>
    <w:pPr>
      <w:jc w:val="center"/>
    </w:pPr>
    <w:rPr>
      <w:noProof/>
    </w:rPr>
  </w:style>
  <w:style w:type="character" w:customStyle="1" w:styleId="EndNoteBibliographyTitleChar">
    <w:name w:val="EndNote Bibliography Title Char"/>
    <w:basedOn w:val="DefaultParagraphFont"/>
    <w:link w:val="EndNoteBibliographyTitle"/>
    <w:rsid w:val="0063434A"/>
    <w:rPr>
      <w:noProof/>
      <w:sz w:val="24"/>
      <w:szCs w:val="24"/>
    </w:rPr>
  </w:style>
  <w:style w:type="paragraph" w:customStyle="1" w:styleId="EndNoteBibliography">
    <w:name w:val="EndNote Bibliography"/>
    <w:basedOn w:val="Normal"/>
    <w:link w:val="EndNoteBibliographyChar"/>
    <w:rsid w:val="0063434A"/>
    <w:rPr>
      <w:noProof/>
    </w:rPr>
  </w:style>
  <w:style w:type="character" w:customStyle="1" w:styleId="EndNoteBibliographyChar">
    <w:name w:val="EndNote Bibliography Char"/>
    <w:basedOn w:val="DefaultParagraphFont"/>
    <w:link w:val="EndNoteBibliography"/>
    <w:rsid w:val="0063434A"/>
    <w:rPr>
      <w:noProof/>
      <w:sz w:val="24"/>
      <w:szCs w:val="24"/>
    </w:rPr>
  </w:style>
  <w:style w:type="character" w:customStyle="1" w:styleId="Heading2Char">
    <w:name w:val="Heading 2 Char"/>
    <w:basedOn w:val="DefaultParagraphFont"/>
    <w:link w:val="Heading2"/>
    <w:rsid w:val="00205B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F32A4"/>
    <w:pPr>
      <w:ind w:left="720"/>
      <w:contextualSpacing/>
    </w:pPr>
  </w:style>
  <w:style w:type="paragraph" w:styleId="BalloonText">
    <w:name w:val="Balloon Text"/>
    <w:basedOn w:val="Normal"/>
    <w:link w:val="BalloonTextChar"/>
    <w:rsid w:val="003736A3"/>
    <w:rPr>
      <w:rFonts w:ascii="Tahoma" w:hAnsi="Tahoma" w:cs="Tahoma"/>
      <w:sz w:val="16"/>
      <w:szCs w:val="16"/>
    </w:rPr>
  </w:style>
  <w:style w:type="character" w:customStyle="1" w:styleId="BalloonTextChar">
    <w:name w:val="Balloon Text Char"/>
    <w:basedOn w:val="DefaultParagraphFont"/>
    <w:link w:val="BalloonText"/>
    <w:rsid w:val="003736A3"/>
    <w:rPr>
      <w:rFonts w:ascii="Tahoma" w:hAnsi="Tahoma" w:cs="Tahoma"/>
      <w:sz w:val="16"/>
      <w:szCs w:val="16"/>
    </w:rPr>
  </w:style>
  <w:style w:type="paragraph" w:styleId="Caption">
    <w:name w:val="caption"/>
    <w:basedOn w:val="Normal"/>
    <w:next w:val="Normal"/>
    <w:unhideWhenUsed/>
    <w:qFormat/>
    <w:rsid w:val="00AA32E3"/>
    <w:pPr>
      <w:spacing w:after="200"/>
    </w:pPr>
    <w:rPr>
      <w:b/>
      <w:bCs/>
      <w:color w:val="4F81BD" w:themeColor="accent1"/>
      <w:sz w:val="18"/>
      <w:szCs w:val="18"/>
    </w:rPr>
  </w:style>
  <w:style w:type="table" w:styleId="TableGrid">
    <w:name w:val="Table Grid"/>
    <w:basedOn w:val="TableNormal"/>
    <w:uiPriority w:val="39"/>
    <w:rsid w:val="009D240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9D2404"/>
    <w:pPr>
      <w:numPr>
        <w:ilvl w:val="1"/>
      </w:numPr>
      <w:bidi w:val="0"/>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D2404"/>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rsid w:val="00AE6637"/>
    <w:pPr>
      <w:tabs>
        <w:tab w:val="center" w:pos="4680"/>
        <w:tab w:val="right" w:pos="9360"/>
      </w:tabs>
    </w:pPr>
  </w:style>
  <w:style w:type="character" w:customStyle="1" w:styleId="HeaderChar">
    <w:name w:val="Header Char"/>
    <w:basedOn w:val="DefaultParagraphFont"/>
    <w:link w:val="Header"/>
    <w:uiPriority w:val="99"/>
    <w:rsid w:val="00AE6637"/>
    <w:rPr>
      <w:sz w:val="24"/>
      <w:szCs w:val="24"/>
    </w:rPr>
  </w:style>
  <w:style w:type="paragraph" w:styleId="Footer">
    <w:name w:val="footer"/>
    <w:basedOn w:val="Normal"/>
    <w:link w:val="FooterChar"/>
    <w:uiPriority w:val="99"/>
    <w:rsid w:val="00AE6637"/>
    <w:pPr>
      <w:tabs>
        <w:tab w:val="center" w:pos="4680"/>
        <w:tab w:val="right" w:pos="9360"/>
      </w:tabs>
    </w:pPr>
  </w:style>
  <w:style w:type="character" w:customStyle="1" w:styleId="FooterChar">
    <w:name w:val="Footer Char"/>
    <w:basedOn w:val="DefaultParagraphFont"/>
    <w:link w:val="Footer"/>
    <w:uiPriority w:val="99"/>
    <w:rsid w:val="00AE6637"/>
    <w:rPr>
      <w:sz w:val="24"/>
      <w:szCs w:val="24"/>
    </w:rPr>
  </w:style>
  <w:style w:type="paragraph" w:styleId="DocumentMap">
    <w:name w:val="Document Map"/>
    <w:basedOn w:val="Normal"/>
    <w:link w:val="DocumentMapChar"/>
    <w:rsid w:val="00E1667D"/>
    <w:rPr>
      <w:rFonts w:ascii="Tahoma" w:hAnsi="Tahoma" w:cs="Tahoma"/>
      <w:sz w:val="16"/>
      <w:szCs w:val="16"/>
    </w:rPr>
  </w:style>
  <w:style w:type="character" w:customStyle="1" w:styleId="DocumentMapChar">
    <w:name w:val="Document Map Char"/>
    <w:basedOn w:val="DefaultParagraphFont"/>
    <w:link w:val="DocumentMap"/>
    <w:rsid w:val="00E1667D"/>
    <w:rPr>
      <w:rFonts w:ascii="Tahoma" w:hAnsi="Tahoma" w:cs="Tahoma"/>
      <w:sz w:val="16"/>
      <w:szCs w:val="16"/>
    </w:rPr>
  </w:style>
  <w:style w:type="paragraph" w:styleId="TOCHeading">
    <w:name w:val="TOC Heading"/>
    <w:basedOn w:val="Heading1"/>
    <w:next w:val="Normal"/>
    <w:uiPriority w:val="39"/>
    <w:semiHidden/>
    <w:unhideWhenUsed/>
    <w:qFormat/>
    <w:rsid w:val="00E1667D"/>
    <w:pPr>
      <w:bidi w:val="0"/>
      <w:spacing w:line="276" w:lineRule="auto"/>
      <w:outlineLvl w:val="9"/>
    </w:pPr>
  </w:style>
  <w:style w:type="paragraph" w:styleId="TOC1">
    <w:name w:val="toc 1"/>
    <w:basedOn w:val="Normal"/>
    <w:next w:val="Normal"/>
    <w:autoRedefine/>
    <w:uiPriority w:val="39"/>
    <w:rsid w:val="002A14CE"/>
    <w:pPr>
      <w:tabs>
        <w:tab w:val="right" w:leader="dot" w:pos="10195"/>
      </w:tabs>
      <w:bidi w:val="0"/>
      <w:spacing w:after="100"/>
    </w:pPr>
  </w:style>
  <w:style w:type="paragraph" w:styleId="TOC2">
    <w:name w:val="toc 2"/>
    <w:basedOn w:val="Normal"/>
    <w:next w:val="Normal"/>
    <w:autoRedefine/>
    <w:uiPriority w:val="39"/>
    <w:rsid w:val="006366E4"/>
    <w:pPr>
      <w:tabs>
        <w:tab w:val="right" w:leader="dot" w:pos="10195"/>
      </w:tabs>
      <w:bidi w:val="0"/>
      <w:spacing w:after="100"/>
      <w:ind w:left="240"/>
    </w:pPr>
  </w:style>
  <w:style w:type="character" w:styleId="Hyperlink">
    <w:name w:val="Hyperlink"/>
    <w:basedOn w:val="DefaultParagraphFont"/>
    <w:uiPriority w:val="99"/>
    <w:unhideWhenUsed/>
    <w:rsid w:val="00E1667D"/>
    <w:rPr>
      <w:color w:val="0000FF" w:themeColor="hyperlink"/>
      <w:u w:val="single"/>
    </w:rPr>
  </w:style>
  <w:style w:type="paragraph" w:styleId="TOC3">
    <w:name w:val="toc 3"/>
    <w:basedOn w:val="Normal"/>
    <w:next w:val="Normal"/>
    <w:autoRedefine/>
    <w:uiPriority w:val="39"/>
    <w:unhideWhenUsed/>
    <w:rsid w:val="00F04C23"/>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F04C23"/>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04C23"/>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04C23"/>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04C23"/>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04C23"/>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04C23"/>
    <w:pPr>
      <w:bidi w:val="0"/>
      <w:spacing w:after="100" w:line="276" w:lineRule="auto"/>
      <w:ind w:left="1760"/>
    </w:pPr>
    <w:rPr>
      <w:rFonts w:asciiTheme="minorHAnsi" w:eastAsiaTheme="minorEastAsia" w:hAnsiTheme="minorHAnsi" w:cstheme="minorBidi"/>
      <w:sz w:val="22"/>
      <w:szCs w:val="22"/>
    </w:rPr>
  </w:style>
  <w:style w:type="character" w:customStyle="1" w:styleId="element-citation">
    <w:name w:val="element-citation"/>
    <w:basedOn w:val="DefaultParagraphFont"/>
    <w:rsid w:val="00924872"/>
  </w:style>
  <w:style w:type="character" w:customStyle="1" w:styleId="ref-journal">
    <w:name w:val="ref-journal"/>
    <w:basedOn w:val="DefaultParagraphFont"/>
    <w:rsid w:val="00924872"/>
  </w:style>
  <w:style w:type="character" w:styleId="FollowedHyperlink">
    <w:name w:val="FollowedHyperlink"/>
    <w:basedOn w:val="DefaultParagraphFont"/>
    <w:rsid w:val="005A0E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579718">
      <w:bodyDiv w:val="1"/>
      <w:marLeft w:val="0"/>
      <w:marRight w:val="0"/>
      <w:marTop w:val="0"/>
      <w:marBottom w:val="0"/>
      <w:divBdr>
        <w:top w:val="none" w:sz="0" w:space="0" w:color="auto"/>
        <w:left w:val="none" w:sz="0" w:space="0" w:color="auto"/>
        <w:bottom w:val="none" w:sz="0" w:space="0" w:color="auto"/>
        <w:right w:val="none" w:sz="0" w:space="0" w:color="auto"/>
      </w:divBdr>
    </w:div>
    <w:div w:id="406460237">
      <w:bodyDiv w:val="1"/>
      <w:marLeft w:val="0"/>
      <w:marRight w:val="0"/>
      <w:marTop w:val="0"/>
      <w:marBottom w:val="0"/>
      <w:divBdr>
        <w:top w:val="none" w:sz="0" w:space="0" w:color="auto"/>
        <w:left w:val="none" w:sz="0" w:space="0" w:color="auto"/>
        <w:bottom w:val="none" w:sz="0" w:space="0" w:color="auto"/>
        <w:right w:val="none" w:sz="0" w:space="0" w:color="auto"/>
      </w:divBdr>
    </w:div>
    <w:div w:id="1642808241">
      <w:bodyDiv w:val="1"/>
      <w:marLeft w:val="0"/>
      <w:marRight w:val="0"/>
      <w:marTop w:val="0"/>
      <w:marBottom w:val="0"/>
      <w:divBdr>
        <w:top w:val="none" w:sz="0" w:space="0" w:color="auto"/>
        <w:left w:val="none" w:sz="0" w:space="0" w:color="auto"/>
        <w:bottom w:val="none" w:sz="0" w:space="0" w:color="auto"/>
        <w:right w:val="none" w:sz="0" w:space="0" w:color="auto"/>
      </w:divBdr>
    </w:div>
    <w:div w:id="1984381097">
      <w:bodyDiv w:val="1"/>
      <w:marLeft w:val="0"/>
      <w:marRight w:val="0"/>
      <w:marTop w:val="0"/>
      <w:marBottom w:val="0"/>
      <w:divBdr>
        <w:top w:val="none" w:sz="0" w:space="0" w:color="auto"/>
        <w:left w:val="none" w:sz="0" w:space="0" w:color="auto"/>
        <w:bottom w:val="none" w:sz="0" w:space="0" w:color="auto"/>
        <w:right w:val="none" w:sz="0" w:space="0" w:color="auto"/>
      </w:divBdr>
    </w:div>
    <w:div w:id="20354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chart>
    <c:title>
      <c:tx>
        <c:rich>
          <a:bodyPr/>
          <a:lstStyle/>
          <a:p>
            <a:pPr>
              <a:defRPr lang="en-US"/>
            </a:pPr>
            <a:r>
              <a:rPr lang="en-US"/>
              <a:t> </a:t>
            </a:r>
          </a:p>
        </c:rich>
      </c:tx>
    </c:title>
    <c:plotArea>
      <c:layout/>
      <c:barChart>
        <c:barDir val="col"/>
        <c:grouping val="clustered"/>
        <c:ser>
          <c:idx val="0"/>
          <c:order val="0"/>
          <c:tx>
            <c:strRef>
              <c:f>Sheet1!$B$1</c:f>
              <c:strCache>
                <c:ptCount val="1"/>
                <c:pt idx="0">
                  <c:v>mean </c:v>
                </c:pt>
              </c:strCache>
            </c:strRef>
          </c:tx>
          <c:cat>
            <c:strRef>
              <c:f>Sheet1!$A$2:$A$4</c:f>
              <c:strCache>
                <c:ptCount val="3"/>
                <c:pt idx="0">
                  <c:v>Week 1</c:v>
                </c:pt>
                <c:pt idx="1">
                  <c:v>Week 2</c:v>
                </c:pt>
                <c:pt idx="2">
                  <c:v>Week 3</c:v>
                </c:pt>
              </c:strCache>
            </c:strRef>
          </c:cat>
          <c:val>
            <c:numRef>
              <c:f>Sheet1!$B$2:$B$4</c:f>
              <c:numCache>
                <c:formatCode>General</c:formatCode>
                <c:ptCount val="3"/>
                <c:pt idx="0">
                  <c:v>40.47</c:v>
                </c:pt>
                <c:pt idx="1">
                  <c:v>32.21</c:v>
                </c:pt>
                <c:pt idx="2">
                  <c:v>30</c:v>
                </c:pt>
              </c:numCache>
            </c:numRef>
          </c:val>
          <c:extLst xmlns:c16r2="http://schemas.microsoft.com/office/drawing/2015/06/chart">
            <c:ext xmlns:c16="http://schemas.microsoft.com/office/drawing/2014/chart" uri="{C3380CC4-5D6E-409C-BE32-E72D297353CC}">
              <c16:uniqueId val="{00000000-281C-4F35-8D02-5B3B8EEF2805}"/>
            </c:ext>
          </c:extLst>
        </c:ser>
        <c:axId val="123090432"/>
        <c:axId val="127965056"/>
      </c:barChart>
      <c:catAx>
        <c:axId val="123090432"/>
        <c:scaling>
          <c:orientation val="minMax"/>
        </c:scaling>
        <c:axPos val="b"/>
        <c:title>
          <c:tx>
            <c:rich>
              <a:bodyPr/>
              <a:lstStyle/>
              <a:p>
                <a:pPr>
                  <a:defRPr lang="en-US"/>
                </a:pPr>
                <a:r>
                  <a:rPr lang="en-US"/>
                  <a:t>Weeks </a:t>
                </a:r>
              </a:p>
            </c:rich>
          </c:tx>
        </c:title>
        <c:numFmt formatCode="General" sourceLinked="0"/>
        <c:tickLblPos val="nextTo"/>
        <c:txPr>
          <a:bodyPr/>
          <a:lstStyle/>
          <a:p>
            <a:pPr>
              <a:defRPr lang="en-US"/>
            </a:pPr>
            <a:endParaRPr lang="ar-IQ"/>
          </a:p>
        </c:txPr>
        <c:crossAx val="127965056"/>
        <c:crosses val="autoZero"/>
        <c:auto val="1"/>
        <c:lblAlgn val="ctr"/>
        <c:lblOffset val="100"/>
      </c:catAx>
      <c:valAx>
        <c:axId val="127965056"/>
        <c:scaling>
          <c:orientation val="minMax"/>
        </c:scaling>
        <c:axPos val="l"/>
        <c:majorGridlines>
          <c:spPr>
            <a:ln w="9525" cap="flat" cmpd="sng" algn="ctr">
              <a:solidFill>
                <a:schemeClr val="dk1">
                  <a:shade val="95000"/>
                  <a:satMod val="105000"/>
                </a:schemeClr>
              </a:solidFill>
              <a:prstDash val="solid"/>
            </a:ln>
            <a:effectLst/>
          </c:spPr>
        </c:majorGridlines>
        <c:numFmt formatCode="General" sourceLinked="1"/>
        <c:tickLblPos val="nextTo"/>
        <c:txPr>
          <a:bodyPr/>
          <a:lstStyle/>
          <a:p>
            <a:pPr>
              <a:defRPr lang="en-US"/>
            </a:pPr>
            <a:endParaRPr lang="ar-IQ"/>
          </a:p>
        </c:txPr>
        <c:crossAx val="123090432"/>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ar-IQ"/>
  <c:chart>
    <c:title>
      <c:tx>
        <c:rich>
          <a:bodyPr/>
          <a:lstStyle/>
          <a:p>
            <a:pPr>
              <a:defRPr lang="en-US"/>
            </a:pPr>
            <a:r>
              <a:rPr lang="en-US"/>
              <a:t>TBC &amp; WBC III </a:t>
            </a:r>
          </a:p>
        </c:rich>
      </c:tx>
    </c:title>
    <c:plotArea>
      <c:layout/>
      <c:barChart>
        <c:barDir val="col"/>
        <c:grouping val="clustered"/>
        <c:ser>
          <c:idx val="0"/>
          <c:order val="0"/>
          <c:tx>
            <c:strRef>
              <c:f>Sheet1!$B$1</c:f>
              <c:strCache>
                <c:ptCount val="1"/>
                <c:pt idx="0">
                  <c:v>WBC &lt;10×10^9</c:v>
                </c:pt>
              </c:strCache>
            </c:strRef>
          </c:tx>
          <c:cat>
            <c:strRef>
              <c:f>Sheet1!$A$2:$A$7</c:f>
              <c:strCache>
                <c:ptCount val="6"/>
                <c:pt idx="0">
                  <c:v>&lt; 20%</c:v>
                </c:pt>
                <c:pt idx="1">
                  <c:v>20-30%</c:v>
                </c:pt>
                <c:pt idx="2">
                  <c:v>30-40%</c:v>
                </c:pt>
                <c:pt idx="3">
                  <c:v>40-50%</c:v>
                </c:pt>
                <c:pt idx="4">
                  <c:v>50-60%</c:v>
                </c:pt>
                <c:pt idx="5">
                  <c:v>&gt;60%</c:v>
                </c:pt>
              </c:strCache>
            </c:strRef>
          </c:cat>
          <c:val>
            <c:numRef>
              <c:f>Sheet1!$B$2:$B$7</c:f>
              <c:numCache>
                <c:formatCode>General</c:formatCode>
                <c:ptCount val="6"/>
                <c:pt idx="0">
                  <c:v>3</c:v>
                </c:pt>
                <c:pt idx="1">
                  <c:v>8</c:v>
                </c:pt>
                <c:pt idx="2">
                  <c:v>6</c:v>
                </c:pt>
                <c:pt idx="3">
                  <c:v>5</c:v>
                </c:pt>
                <c:pt idx="4">
                  <c:v>0</c:v>
                </c:pt>
                <c:pt idx="5">
                  <c:v>3</c:v>
                </c:pt>
              </c:numCache>
            </c:numRef>
          </c:val>
          <c:extLst xmlns:c16r2="http://schemas.microsoft.com/office/drawing/2015/06/chart">
            <c:ext xmlns:c16="http://schemas.microsoft.com/office/drawing/2014/chart" uri="{C3380CC4-5D6E-409C-BE32-E72D297353CC}">
              <c16:uniqueId val="{00000000-8796-499B-A0C6-62C3AD99C47F}"/>
            </c:ext>
          </c:extLst>
        </c:ser>
        <c:ser>
          <c:idx val="1"/>
          <c:order val="1"/>
          <c:tx>
            <c:strRef>
              <c:f>Sheet1!$C$1</c:f>
              <c:strCache>
                <c:ptCount val="1"/>
                <c:pt idx="0">
                  <c:v>WBC 20-10×10^9</c:v>
                </c:pt>
              </c:strCache>
            </c:strRef>
          </c:tx>
          <c:cat>
            <c:strRef>
              <c:f>Sheet1!$A$2:$A$7</c:f>
              <c:strCache>
                <c:ptCount val="6"/>
                <c:pt idx="0">
                  <c:v>&lt; 20%</c:v>
                </c:pt>
                <c:pt idx="1">
                  <c:v>20-30%</c:v>
                </c:pt>
                <c:pt idx="2">
                  <c:v>30-40%</c:v>
                </c:pt>
                <c:pt idx="3">
                  <c:v>40-50%</c:v>
                </c:pt>
                <c:pt idx="4">
                  <c:v>50-60%</c:v>
                </c:pt>
                <c:pt idx="5">
                  <c:v>&gt;60%</c:v>
                </c:pt>
              </c:strCache>
            </c:strRef>
          </c:cat>
          <c:val>
            <c:numRef>
              <c:f>Sheet1!$C$2:$C$7</c:f>
              <c:numCache>
                <c:formatCode>General</c:formatCode>
                <c:ptCount val="6"/>
                <c:pt idx="0">
                  <c:v>10</c:v>
                </c:pt>
                <c:pt idx="1">
                  <c:v>11</c:v>
                </c:pt>
                <c:pt idx="2">
                  <c:v>14</c:v>
                </c:pt>
                <c:pt idx="3">
                  <c:v>13</c:v>
                </c:pt>
                <c:pt idx="4">
                  <c:v>4</c:v>
                </c:pt>
                <c:pt idx="5">
                  <c:v>2</c:v>
                </c:pt>
              </c:numCache>
            </c:numRef>
          </c:val>
          <c:extLst xmlns:c16r2="http://schemas.microsoft.com/office/drawing/2015/06/chart">
            <c:ext xmlns:c16="http://schemas.microsoft.com/office/drawing/2014/chart" uri="{C3380CC4-5D6E-409C-BE32-E72D297353CC}">
              <c16:uniqueId val="{00000001-8796-499B-A0C6-62C3AD99C47F}"/>
            </c:ext>
          </c:extLst>
        </c:ser>
        <c:ser>
          <c:idx val="2"/>
          <c:order val="2"/>
          <c:tx>
            <c:strRef>
              <c:f>Sheet1!$D$1</c:f>
              <c:strCache>
                <c:ptCount val="1"/>
                <c:pt idx="0">
                  <c:v>WBC &gt;20×10^9</c:v>
                </c:pt>
              </c:strCache>
            </c:strRef>
          </c:tx>
          <c:cat>
            <c:strRef>
              <c:f>Sheet1!$A$2:$A$7</c:f>
              <c:strCache>
                <c:ptCount val="6"/>
                <c:pt idx="0">
                  <c:v>&lt; 20%</c:v>
                </c:pt>
                <c:pt idx="1">
                  <c:v>20-30%</c:v>
                </c:pt>
                <c:pt idx="2">
                  <c:v>30-40%</c:v>
                </c:pt>
                <c:pt idx="3">
                  <c:v>40-50%</c:v>
                </c:pt>
                <c:pt idx="4">
                  <c:v>50-60%</c:v>
                </c:pt>
                <c:pt idx="5">
                  <c:v>&gt;60%</c:v>
                </c:pt>
              </c:strCache>
            </c:strRef>
          </c:cat>
          <c:val>
            <c:numRef>
              <c:f>Sheet1!$D$2:$D$7</c:f>
              <c:numCache>
                <c:formatCode>General</c:formatCode>
                <c:ptCount val="6"/>
                <c:pt idx="0">
                  <c:v>1</c:v>
                </c:pt>
                <c:pt idx="1">
                  <c:v>3</c:v>
                </c:pt>
                <c:pt idx="2">
                  <c:v>1</c:v>
                </c:pt>
                <c:pt idx="3">
                  <c:v>2</c:v>
                </c:pt>
                <c:pt idx="4">
                  <c:v>0</c:v>
                </c:pt>
                <c:pt idx="5">
                  <c:v>1</c:v>
                </c:pt>
              </c:numCache>
            </c:numRef>
          </c:val>
          <c:extLst xmlns:c16r2="http://schemas.microsoft.com/office/drawing/2015/06/chart">
            <c:ext xmlns:c16="http://schemas.microsoft.com/office/drawing/2014/chart" uri="{C3380CC4-5D6E-409C-BE32-E72D297353CC}">
              <c16:uniqueId val="{00000002-8796-499B-A0C6-62C3AD99C47F}"/>
            </c:ext>
          </c:extLst>
        </c:ser>
        <c:axId val="101536512"/>
        <c:axId val="101538432"/>
      </c:barChart>
      <c:catAx>
        <c:axId val="101536512"/>
        <c:scaling>
          <c:orientation val="minMax"/>
        </c:scaling>
        <c:axPos val="b"/>
        <c:title>
          <c:tx>
            <c:rich>
              <a:bodyPr/>
              <a:lstStyle/>
              <a:p>
                <a:pPr>
                  <a:defRPr lang="en-US"/>
                </a:pPr>
                <a:r>
                  <a:rPr lang="en-US"/>
                  <a:t>total body surfacy area </a:t>
                </a:r>
              </a:p>
            </c:rich>
          </c:tx>
        </c:title>
        <c:numFmt formatCode="General" sourceLinked="0"/>
        <c:tickLblPos val="nextTo"/>
        <c:txPr>
          <a:bodyPr/>
          <a:lstStyle/>
          <a:p>
            <a:pPr>
              <a:defRPr lang="en-US"/>
            </a:pPr>
            <a:endParaRPr lang="ar-IQ"/>
          </a:p>
        </c:txPr>
        <c:crossAx val="101538432"/>
        <c:crosses val="autoZero"/>
        <c:auto val="1"/>
        <c:lblAlgn val="ctr"/>
        <c:lblOffset val="100"/>
      </c:catAx>
      <c:valAx>
        <c:axId val="101538432"/>
        <c:scaling>
          <c:orientation val="minMax"/>
        </c:scaling>
        <c:axPos val="l"/>
        <c:majorGridlines/>
        <c:title>
          <c:tx>
            <c:rich>
              <a:bodyPr rot="-5400000" vert="horz"/>
              <a:lstStyle/>
              <a:p>
                <a:pPr>
                  <a:defRPr lang="en-US"/>
                </a:pPr>
                <a:r>
                  <a:rPr lang="en-US"/>
                  <a:t>frequency </a:t>
                </a:r>
              </a:p>
            </c:rich>
          </c:tx>
          <c:layout>
            <c:manualLayout>
              <c:xMode val="edge"/>
              <c:yMode val="edge"/>
              <c:x val="2.3148148148148147E-2"/>
              <c:y val="0.40496187976503201"/>
            </c:manualLayout>
          </c:layout>
        </c:title>
        <c:numFmt formatCode="General" sourceLinked="1"/>
        <c:tickLblPos val="nextTo"/>
        <c:txPr>
          <a:bodyPr/>
          <a:lstStyle/>
          <a:p>
            <a:pPr>
              <a:defRPr lang="en-US"/>
            </a:pPr>
            <a:endParaRPr lang="ar-IQ"/>
          </a:p>
        </c:txPr>
        <c:crossAx val="101536512"/>
        <c:crosses val="autoZero"/>
        <c:crossBetween val="between"/>
      </c:valAx>
    </c:plotArea>
    <c:legend>
      <c:legendPos val="r"/>
      <c:txPr>
        <a:bodyPr/>
        <a:lstStyle/>
        <a:p>
          <a:pPr>
            <a:defRPr lang="en-US"/>
          </a:pPr>
          <a:endParaRPr lang="ar-IQ"/>
        </a:p>
      </c:tx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ar-IQ"/>
  <c:chart>
    <c:title>
      <c:txPr>
        <a:bodyPr/>
        <a:lstStyle/>
        <a:p>
          <a:pPr>
            <a:defRPr lang="en-US"/>
          </a:pPr>
          <a:endParaRPr lang="ar-IQ"/>
        </a:p>
      </c:txPr>
    </c:title>
    <c:plotArea>
      <c:layout/>
      <c:pieChart>
        <c:varyColors val="1"/>
        <c:ser>
          <c:idx val="0"/>
          <c:order val="0"/>
          <c:tx>
            <c:strRef>
              <c:f>Sheet1!$B$1</c:f>
              <c:strCache>
                <c:ptCount val="1"/>
                <c:pt idx="0">
                  <c:v>mortality</c:v>
                </c:pt>
              </c:strCache>
            </c:strRef>
          </c:tx>
          <c:dLbls>
            <c:spPr>
              <a:noFill/>
              <a:ln>
                <a:noFill/>
              </a:ln>
              <a:effectLst/>
            </c:spPr>
            <c:txPr>
              <a:bodyPr/>
              <a:lstStyle/>
              <a:p>
                <a:pPr>
                  <a:defRPr lang="en-US"/>
                </a:pPr>
                <a:endParaRPr lang="ar-IQ"/>
              </a:p>
            </c:txPr>
            <c:showCatName val="1"/>
            <c:showPercent val="1"/>
            <c:extLst xmlns:c16r2="http://schemas.microsoft.com/office/drawing/2015/06/chart">
              <c:ext xmlns:c15="http://schemas.microsoft.com/office/drawing/2012/chart" uri="{CE6537A1-D6FC-4f65-9D91-7224C49458BB}"/>
            </c:extLst>
          </c:dLbls>
          <c:cat>
            <c:strRef>
              <c:f>Sheet1!$A$2:$A$3</c:f>
              <c:strCache>
                <c:ptCount val="2"/>
                <c:pt idx="0">
                  <c:v>survived</c:v>
                </c:pt>
                <c:pt idx="1">
                  <c:v>dead</c:v>
                </c:pt>
              </c:strCache>
            </c:strRef>
          </c:cat>
          <c:val>
            <c:numRef>
              <c:f>Sheet1!$B$2:$B$3</c:f>
              <c:numCache>
                <c:formatCode>0%</c:formatCode>
                <c:ptCount val="2"/>
                <c:pt idx="0">
                  <c:v>0.86000000000000065</c:v>
                </c:pt>
                <c:pt idx="1">
                  <c:v>0.1100000000000001</c:v>
                </c:pt>
              </c:numCache>
            </c:numRef>
          </c:val>
          <c:extLst xmlns:c16r2="http://schemas.microsoft.com/office/drawing/2015/06/chart">
            <c:ext xmlns:c16="http://schemas.microsoft.com/office/drawing/2014/chart" uri="{C3380CC4-5D6E-409C-BE32-E72D297353CC}">
              <c16:uniqueId val="{00000000-FCBF-4952-9830-E3AB4A5B2EEE}"/>
            </c:ext>
          </c:extLst>
        </c:ser>
        <c:dLbls>
          <c:showCatName val="1"/>
          <c:showPercent val="1"/>
        </c:dLbls>
        <c:firstSliceAng val="0"/>
      </c:pieChart>
    </c:plotArea>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ar-IQ"/>
  <c:chart>
    <c:title>
      <c:tx>
        <c:rich>
          <a:bodyPr/>
          <a:lstStyle/>
          <a:p>
            <a:pPr>
              <a:defRPr lang="en-US"/>
            </a:pPr>
            <a:r>
              <a:rPr lang="en-US"/>
              <a:t> </a:t>
            </a:r>
          </a:p>
        </c:rich>
      </c:tx>
      <c:spPr>
        <a:solidFill>
          <a:schemeClr val="bg1"/>
        </a:solidFill>
      </c:spPr>
    </c:title>
    <c:plotArea>
      <c:layout/>
      <c:barChart>
        <c:barDir val="col"/>
        <c:grouping val="clustered"/>
        <c:ser>
          <c:idx val="0"/>
          <c:order val="0"/>
          <c:tx>
            <c:strRef>
              <c:f>Sheet1!$B$1</c:f>
              <c:strCache>
                <c:ptCount val="1"/>
                <c:pt idx="0">
                  <c:v> Percentage</c:v>
                </c:pt>
              </c:strCache>
            </c:strRef>
          </c:tx>
          <c:cat>
            <c:strRef>
              <c:f>Sheet1!$A$2:$A$7</c:f>
              <c:strCache>
                <c:ptCount val="6"/>
                <c:pt idx="0">
                  <c:v>&lt; 20%</c:v>
                </c:pt>
                <c:pt idx="1">
                  <c:v>20-30%</c:v>
                </c:pt>
                <c:pt idx="2">
                  <c:v>30-40%</c:v>
                </c:pt>
                <c:pt idx="3">
                  <c:v>40-50%</c:v>
                </c:pt>
                <c:pt idx="4">
                  <c:v>50-60%</c:v>
                </c:pt>
                <c:pt idx="5">
                  <c:v>&gt;60%</c:v>
                </c:pt>
              </c:strCache>
            </c:strRef>
          </c:cat>
          <c:val>
            <c:numRef>
              <c:f>Sheet1!$B$2:$B$7</c:f>
              <c:numCache>
                <c:formatCode>General</c:formatCode>
                <c:ptCount val="6"/>
                <c:pt idx="0">
                  <c:v>0</c:v>
                </c:pt>
                <c:pt idx="1">
                  <c:v>9</c:v>
                </c:pt>
                <c:pt idx="2">
                  <c:v>18</c:v>
                </c:pt>
                <c:pt idx="3">
                  <c:v>9</c:v>
                </c:pt>
                <c:pt idx="4">
                  <c:v>27</c:v>
                </c:pt>
                <c:pt idx="5">
                  <c:v>36</c:v>
                </c:pt>
              </c:numCache>
            </c:numRef>
          </c:val>
          <c:extLst xmlns:c16r2="http://schemas.microsoft.com/office/drawing/2015/06/chart">
            <c:ext xmlns:c16="http://schemas.microsoft.com/office/drawing/2014/chart" uri="{C3380CC4-5D6E-409C-BE32-E72D297353CC}">
              <c16:uniqueId val="{00000000-9552-417B-937C-63D0C0E5E6A1}"/>
            </c:ext>
          </c:extLst>
        </c:ser>
        <c:axId val="101642624"/>
        <c:axId val="101644544"/>
      </c:barChart>
      <c:catAx>
        <c:axId val="101642624"/>
        <c:scaling>
          <c:orientation val="minMax"/>
        </c:scaling>
        <c:axPos val="b"/>
        <c:title>
          <c:tx>
            <c:rich>
              <a:bodyPr/>
              <a:lstStyle/>
              <a:p>
                <a:pPr>
                  <a:defRPr lang="en-US"/>
                </a:pPr>
                <a:r>
                  <a:rPr lang="en-US"/>
                  <a:t>total body surface area </a:t>
                </a:r>
              </a:p>
            </c:rich>
          </c:tx>
        </c:title>
        <c:numFmt formatCode="General" sourceLinked="0"/>
        <c:tickLblPos val="nextTo"/>
        <c:txPr>
          <a:bodyPr/>
          <a:lstStyle/>
          <a:p>
            <a:pPr>
              <a:defRPr lang="en-US"/>
            </a:pPr>
            <a:endParaRPr lang="ar-IQ"/>
          </a:p>
        </c:txPr>
        <c:crossAx val="101644544"/>
        <c:crosses val="autoZero"/>
        <c:auto val="1"/>
        <c:lblAlgn val="ctr"/>
        <c:lblOffset val="100"/>
      </c:catAx>
      <c:valAx>
        <c:axId val="101644544"/>
        <c:scaling>
          <c:orientation val="minMax"/>
        </c:scaling>
        <c:axPos val="l"/>
        <c:majorGridlines/>
        <c:title>
          <c:tx>
            <c:rich>
              <a:bodyPr rot="-5400000" vert="horz"/>
              <a:lstStyle/>
              <a:p>
                <a:pPr>
                  <a:defRPr lang="en-US"/>
                </a:pPr>
                <a:r>
                  <a:rPr lang="en-US"/>
                  <a:t>precentage</a:t>
                </a:r>
              </a:p>
            </c:rich>
          </c:tx>
          <c:layout>
            <c:manualLayout>
              <c:xMode val="edge"/>
              <c:yMode val="edge"/>
              <c:x val="2.5462962962962982E-2"/>
              <c:y val="0.37946512685914624"/>
            </c:manualLayout>
          </c:layout>
        </c:title>
        <c:numFmt formatCode="General" sourceLinked="1"/>
        <c:tickLblPos val="nextTo"/>
        <c:txPr>
          <a:bodyPr/>
          <a:lstStyle/>
          <a:p>
            <a:pPr>
              <a:defRPr lang="en-US"/>
            </a:pPr>
            <a:endParaRPr lang="ar-IQ"/>
          </a:p>
        </c:txPr>
        <c:crossAx val="101642624"/>
        <c:crosses val="autoZero"/>
        <c:crossBetween val="between"/>
      </c:valAx>
      <c:spPr>
        <a:noFill/>
        <a:ln w="25400">
          <a:noFill/>
        </a:ln>
      </c:spPr>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manualLayout>
          <c:layoutTarget val="inner"/>
          <c:xMode val="edge"/>
          <c:yMode val="edge"/>
          <c:x val="0.10237049316203888"/>
          <c:y val="0.10371501542105305"/>
          <c:w val="0.83998539656227711"/>
          <c:h val="0.6985690144896276"/>
        </c:manualLayout>
      </c:layout>
      <c:barChart>
        <c:barDir val="col"/>
        <c:grouping val="clustered"/>
        <c:ser>
          <c:idx val="0"/>
          <c:order val="0"/>
          <c:tx>
            <c:strRef>
              <c:f>Sheet1!$B$1</c:f>
              <c:strCache>
                <c:ptCount val="1"/>
                <c:pt idx="0">
                  <c:v> Percentage  </c:v>
                </c:pt>
              </c:strCache>
            </c:strRef>
          </c:tx>
          <c:dLbls>
            <c:spPr>
              <a:noFill/>
              <a:ln>
                <a:noFill/>
              </a:ln>
              <a:effectLst/>
            </c:spPr>
            <c:txPr>
              <a:bodyPr/>
              <a:lstStyle/>
              <a:p>
                <a:pPr>
                  <a:defRPr lang="en-US"/>
                </a:pPr>
                <a:endParaRPr lang="ar-IQ"/>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II</c:v>
                </c:pt>
                <c:pt idx="1">
                  <c:v>III</c:v>
                </c:pt>
                <c:pt idx="2">
                  <c:v>II-III</c:v>
                </c:pt>
              </c:strCache>
            </c:strRef>
          </c:cat>
          <c:val>
            <c:numRef>
              <c:f>Sheet1!$B$2:$B$4</c:f>
              <c:numCache>
                <c:formatCode>General</c:formatCode>
                <c:ptCount val="3"/>
                <c:pt idx="0">
                  <c:v>18</c:v>
                </c:pt>
                <c:pt idx="1">
                  <c:v>9</c:v>
                </c:pt>
                <c:pt idx="2">
                  <c:v>72</c:v>
                </c:pt>
              </c:numCache>
            </c:numRef>
          </c:val>
          <c:extLst xmlns:c16r2="http://schemas.microsoft.com/office/drawing/2015/06/chart">
            <c:ext xmlns:c16="http://schemas.microsoft.com/office/drawing/2014/chart" uri="{C3380CC4-5D6E-409C-BE32-E72D297353CC}">
              <c16:uniqueId val="{00000000-8E83-4DBD-B673-0AFAE74AC774}"/>
            </c:ext>
          </c:extLst>
        </c:ser>
        <c:dLbls>
          <c:showVal val="1"/>
        </c:dLbls>
        <c:gapWidth val="75"/>
        <c:axId val="101320960"/>
        <c:axId val="101323136"/>
      </c:barChart>
      <c:catAx>
        <c:axId val="101320960"/>
        <c:scaling>
          <c:orientation val="minMax"/>
        </c:scaling>
        <c:axPos val="b"/>
        <c:title>
          <c:tx>
            <c:rich>
              <a:bodyPr/>
              <a:lstStyle/>
              <a:p>
                <a:pPr>
                  <a:defRPr lang="en-US"/>
                </a:pPr>
                <a:r>
                  <a:rPr lang="en-US"/>
                  <a:t>degree of burn</a:t>
                </a:r>
              </a:p>
            </c:rich>
          </c:tx>
          <c:layout>
            <c:manualLayout>
              <c:xMode val="edge"/>
              <c:yMode val="edge"/>
              <c:x val="0.46512813502479122"/>
              <c:y val="0.90741950644599179"/>
            </c:manualLayout>
          </c:layout>
        </c:title>
        <c:numFmt formatCode="General" sourceLinked="0"/>
        <c:majorTickMark val="none"/>
        <c:tickLblPos val="nextTo"/>
        <c:txPr>
          <a:bodyPr/>
          <a:lstStyle/>
          <a:p>
            <a:pPr>
              <a:defRPr lang="en-US"/>
            </a:pPr>
            <a:endParaRPr lang="ar-IQ"/>
          </a:p>
        </c:txPr>
        <c:crossAx val="101323136"/>
        <c:crosses val="autoZero"/>
        <c:auto val="1"/>
        <c:lblAlgn val="ctr"/>
        <c:lblOffset val="100"/>
      </c:catAx>
      <c:valAx>
        <c:axId val="101323136"/>
        <c:scaling>
          <c:orientation val="minMax"/>
        </c:scaling>
        <c:axPos val="l"/>
        <c:title>
          <c:tx>
            <c:rich>
              <a:bodyPr rot="-5400000" vert="horz"/>
              <a:lstStyle/>
              <a:p>
                <a:pPr>
                  <a:defRPr lang="en-US"/>
                </a:pPr>
                <a:r>
                  <a:rPr lang="en-US"/>
                  <a:t>precentage </a:t>
                </a:r>
              </a:p>
            </c:rich>
          </c:tx>
        </c:title>
        <c:numFmt formatCode="General" sourceLinked="1"/>
        <c:majorTickMark val="none"/>
        <c:tickLblPos val="nextTo"/>
        <c:txPr>
          <a:bodyPr/>
          <a:lstStyle/>
          <a:p>
            <a:pPr>
              <a:defRPr lang="en-US"/>
            </a:pPr>
            <a:endParaRPr lang="ar-IQ"/>
          </a:p>
        </c:txPr>
        <c:crossAx val="101320960"/>
        <c:crosses val="autoZero"/>
        <c:crossBetween val="between"/>
      </c:valAx>
      <c:spPr>
        <a:noFill/>
        <a:ln w="25400">
          <a:noFill/>
        </a:ln>
      </c:spPr>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strRef>
              <c:f>Sheet1!$B$1</c:f>
              <c:strCache>
                <c:ptCount val="1"/>
                <c:pt idx="0">
                  <c:v>survived</c:v>
                </c:pt>
              </c:strCache>
            </c:strRef>
          </c:tx>
          <c:cat>
            <c:strRef>
              <c:f>Sheet1!$A$2:$A$4</c:f>
              <c:strCache>
                <c:ptCount val="3"/>
                <c:pt idx="0">
                  <c:v>week 1</c:v>
                </c:pt>
                <c:pt idx="1">
                  <c:v>week 2</c:v>
                </c:pt>
                <c:pt idx="2">
                  <c:v>week 3</c:v>
                </c:pt>
              </c:strCache>
            </c:strRef>
          </c:cat>
          <c:val>
            <c:numRef>
              <c:f>Sheet1!$B$2:$B$4</c:f>
              <c:numCache>
                <c:formatCode>General</c:formatCode>
                <c:ptCount val="3"/>
                <c:pt idx="0">
                  <c:v>0.75000000000000366</c:v>
                </c:pt>
                <c:pt idx="1">
                  <c:v>0.58000000000000007</c:v>
                </c:pt>
                <c:pt idx="2">
                  <c:v>0.65000000000000413</c:v>
                </c:pt>
              </c:numCache>
            </c:numRef>
          </c:val>
          <c:extLst xmlns:c16r2="http://schemas.microsoft.com/office/drawing/2015/06/chart">
            <c:ext xmlns:c16="http://schemas.microsoft.com/office/drawing/2014/chart" uri="{C3380CC4-5D6E-409C-BE32-E72D297353CC}">
              <c16:uniqueId val="{00000000-FD7D-495B-92E6-E05E5793C775}"/>
            </c:ext>
          </c:extLst>
        </c:ser>
        <c:ser>
          <c:idx val="1"/>
          <c:order val="1"/>
          <c:tx>
            <c:strRef>
              <c:f>Sheet1!$C$1</c:f>
              <c:strCache>
                <c:ptCount val="1"/>
                <c:pt idx="0">
                  <c:v>dead</c:v>
                </c:pt>
              </c:strCache>
            </c:strRef>
          </c:tx>
          <c:cat>
            <c:strRef>
              <c:f>Sheet1!$A$2:$A$4</c:f>
              <c:strCache>
                <c:ptCount val="3"/>
                <c:pt idx="0">
                  <c:v>week 1</c:v>
                </c:pt>
                <c:pt idx="1">
                  <c:v>week 2</c:v>
                </c:pt>
                <c:pt idx="2">
                  <c:v>week 3</c:v>
                </c:pt>
              </c:strCache>
            </c:strRef>
          </c:cat>
          <c:val>
            <c:numRef>
              <c:f>Sheet1!$C$2:$C$4</c:f>
              <c:numCache>
                <c:formatCode>General</c:formatCode>
                <c:ptCount val="3"/>
                <c:pt idx="0">
                  <c:v>0.79</c:v>
                </c:pt>
                <c:pt idx="1">
                  <c:v>0.61000000000000065</c:v>
                </c:pt>
                <c:pt idx="2">
                  <c:v>0.6700000000000047</c:v>
                </c:pt>
              </c:numCache>
            </c:numRef>
          </c:val>
          <c:extLst xmlns:c16r2="http://schemas.microsoft.com/office/drawing/2015/06/chart">
            <c:ext xmlns:c16="http://schemas.microsoft.com/office/drawing/2014/chart" uri="{C3380CC4-5D6E-409C-BE32-E72D297353CC}">
              <c16:uniqueId val="{00000001-FD7D-495B-92E6-E05E5793C775}"/>
            </c:ext>
          </c:extLst>
        </c:ser>
        <c:axId val="101253504"/>
        <c:axId val="101255424"/>
      </c:barChart>
      <c:catAx>
        <c:axId val="101253504"/>
        <c:scaling>
          <c:orientation val="minMax"/>
        </c:scaling>
        <c:axPos val="b"/>
        <c:title>
          <c:tx>
            <c:rich>
              <a:bodyPr/>
              <a:lstStyle/>
              <a:p>
                <a:pPr>
                  <a:defRPr lang="en-US"/>
                </a:pPr>
                <a:r>
                  <a:rPr lang="en-US"/>
                  <a:t>Weeks</a:t>
                </a:r>
              </a:p>
            </c:rich>
          </c:tx>
          <c:layout>
            <c:manualLayout>
              <c:xMode val="edge"/>
              <c:yMode val="edge"/>
              <c:x val="0.43515748031496387"/>
              <c:y val="0.92775778027746536"/>
            </c:manualLayout>
          </c:layout>
        </c:title>
        <c:numFmt formatCode="General" sourceLinked="0"/>
        <c:tickLblPos val="nextTo"/>
        <c:txPr>
          <a:bodyPr/>
          <a:lstStyle/>
          <a:p>
            <a:pPr>
              <a:defRPr lang="en-US"/>
            </a:pPr>
            <a:endParaRPr lang="ar-IQ"/>
          </a:p>
        </c:txPr>
        <c:crossAx val="101255424"/>
        <c:crosses val="autoZero"/>
        <c:auto val="1"/>
        <c:lblAlgn val="ctr"/>
        <c:lblOffset val="100"/>
      </c:catAx>
      <c:valAx>
        <c:axId val="101255424"/>
        <c:scaling>
          <c:orientation val="minMax"/>
        </c:scaling>
        <c:axPos val="l"/>
        <c:majorGridlines/>
        <c:title>
          <c:tx>
            <c:rich>
              <a:bodyPr rot="-5400000" vert="horz"/>
              <a:lstStyle/>
              <a:p>
                <a:pPr>
                  <a:defRPr lang="en-US"/>
                </a:pPr>
                <a:r>
                  <a:rPr lang="en-US"/>
                  <a:t>S.creatinine mg/dl</a:t>
                </a:r>
              </a:p>
            </c:rich>
          </c:tx>
          <c:layout>
            <c:manualLayout>
              <c:xMode val="edge"/>
              <c:yMode val="edge"/>
              <c:x val="1.1574074074074073E-2"/>
              <c:y val="0.3015788651418625"/>
            </c:manualLayout>
          </c:layout>
        </c:title>
        <c:numFmt formatCode="General" sourceLinked="1"/>
        <c:tickLblPos val="nextTo"/>
        <c:txPr>
          <a:bodyPr/>
          <a:lstStyle/>
          <a:p>
            <a:pPr>
              <a:defRPr lang="en-US"/>
            </a:pPr>
            <a:endParaRPr lang="ar-IQ"/>
          </a:p>
        </c:txPr>
        <c:crossAx val="101253504"/>
        <c:crosses val="autoZero"/>
        <c:crossBetween val="between"/>
      </c:valAx>
    </c:plotArea>
    <c:legend>
      <c:legendPos val="r"/>
      <c:txPr>
        <a:bodyPr/>
        <a:lstStyle/>
        <a:p>
          <a:pPr>
            <a:defRPr lang="en-US"/>
          </a:pPr>
          <a:endParaRPr lang="ar-IQ"/>
        </a:p>
      </c:txPr>
    </c:legend>
    <c:plotVisOnly val="1"/>
    <c:dispBlanksAs val="gap"/>
  </c:chart>
  <c:txPr>
    <a:bodyPr/>
    <a:lstStyle/>
    <a:p>
      <a:pPr>
        <a:defRPr b="1"/>
      </a:pPr>
      <a:endParaRPr lang="ar-IQ"/>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strRef>
              <c:f>Sheet1!$B$1</c:f>
              <c:strCache>
                <c:ptCount val="1"/>
                <c:pt idx="0">
                  <c:v>survived</c:v>
                </c:pt>
              </c:strCache>
            </c:strRef>
          </c:tx>
          <c:cat>
            <c:strRef>
              <c:f>Sheet1!$A$2:$A$4</c:f>
              <c:strCache>
                <c:ptCount val="3"/>
                <c:pt idx="0">
                  <c:v>week 1</c:v>
                </c:pt>
                <c:pt idx="1">
                  <c:v>week 2</c:v>
                </c:pt>
                <c:pt idx="2">
                  <c:v>week 3</c:v>
                </c:pt>
              </c:strCache>
            </c:strRef>
          </c:cat>
          <c:val>
            <c:numRef>
              <c:f>Sheet1!$B$2:$B$4</c:f>
              <c:numCache>
                <c:formatCode>General</c:formatCode>
                <c:ptCount val="3"/>
                <c:pt idx="0">
                  <c:v>31</c:v>
                </c:pt>
                <c:pt idx="1">
                  <c:v>25</c:v>
                </c:pt>
                <c:pt idx="2">
                  <c:v>29</c:v>
                </c:pt>
              </c:numCache>
            </c:numRef>
          </c:val>
          <c:extLst xmlns:c16r2="http://schemas.microsoft.com/office/drawing/2015/06/chart">
            <c:ext xmlns:c16="http://schemas.microsoft.com/office/drawing/2014/chart" uri="{C3380CC4-5D6E-409C-BE32-E72D297353CC}">
              <c16:uniqueId val="{00000000-DE01-4CD0-B6B1-5E71DA6988C1}"/>
            </c:ext>
          </c:extLst>
        </c:ser>
        <c:ser>
          <c:idx val="1"/>
          <c:order val="1"/>
          <c:tx>
            <c:strRef>
              <c:f>Sheet1!$C$1</c:f>
              <c:strCache>
                <c:ptCount val="1"/>
                <c:pt idx="0">
                  <c:v>dead</c:v>
                </c:pt>
              </c:strCache>
            </c:strRef>
          </c:tx>
          <c:cat>
            <c:strRef>
              <c:f>Sheet1!$A$2:$A$4</c:f>
              <c:strCache>
                <c:ptCount val="3"/>
                <c:pt idx="0">
                  <c:v>week 1</c:v>
                </c:pt>
                <c:pt idx="1">
                  <c:v>week 2</c:v>
                </c:pt>
                <c:pt idx="2">
                  <c:v>week 3</c:v>
                </c:pt>
              </c:strCache>
            </c:strRef>
          </c:cat>
          <c:val>
            <c:numRef>
              <c:f>Sheet1!$C$2:$C$4</c:f>
              <c:numCache>
                <c:formatCode>General</c:formatCode>
                <c:ptCount val="3"/>
                <c:pt idx="0">
                  <c:v>44</c:v>
                </c:pt>
                <c:pt idx="1">
                  <c:v>22</c:v>
                </c:pt>
                <c:pt idx="2">
                  <c:v>33.54</c:v>
                </c:pt>
              </c:numCache>
            </c:numRef>
          </c:val>
          <c:extLst xmlns:c16r2="http://schemas.microsoft.com/office/drawing/2015/06/chart">
            <c:ext xmlns:c16="http://schemas.microsoft.com/office/drawing/2014/chart" uri="{C3380CC4-5D6E-409C-BE32-E72D297353CC}">
              <c16:uniqueId val="{00000001-DE01-4CD0-B6B1-5E71DA6988C1}"/>
            </c:ext>
          </c:extLst>
        </c:ser>
        <c:axId val="101309056"/>
        <c:axId val="101352192"/>
      </c:barChart>
      <c:catAx>
        <c:axId val="101309056"/>
        <c:scaling>
          <c:orientation val="minMax"/>
        </c:scaling>
        <c:axPos val="b"/>
        <c:title>
          <c:tx>
            <c:rich>
              <a:bodyPr/>
              <a:lstStyle/>
              <a:p>
                <a:pPr>
                  <a:defRPr lang="en-US"/>
                </a:pPr>
                <a:r>
                  <a:rPr lang="en-US" sz="1200"/>
                  <a:t>weeks</a:t>
                </a:r>
              </a:p>
            </c:rich>
          </c:tx>
          <c:layout>
            <c:manualLayout>
              <c:xMode val="edge"/>
              <c:yMode val="edge"/>
              <c:x val="0.43519211140274311"/>
              <c:y val="0.9299603174603176"/>
            </c:manualLayout>
          </c:layout>
        </c:title>
        <c:numFmt formatCode="General" sourceLinked="0"/>
        <c:tickLblPos val="nextTo"/>
        <c:txPr>
          <a:bodyPr/>
          <a:lstStyle/>
          <a:p>
            <a:pPr>
              <a:defRPr lang="en-US"/>
            </a:pPr>
            <a:endParaRPr lang="ar-IQ"/>
          </a:p>
        </c:txPr>
        <c:crossAx val="101352192"/>
        <c:crosses val="autoZero"/>
        <c:auto val="1"/>
        <c:lblAlgn val="ctr"/>
        <c:lblOffset val="100"/>
      </c:catAx>
      <c:valAx>
        <c:axId val="101352192"/>
        <c:scaling>
          <c:orientation val="minMax"/>
        </c:scaling>
        <c:axPos val="l"/>
        <c:majorGridlines/>
        <c:title>
          <c:tx>
            <c:rich>
              <a:bodyPr rot="-5400000" vert="horz"/>
              <a:lstStyle/>
              <a:p>
                <a:pPr>
                  <a:defRPr lang="en-US"/>
                </a:pPr>
                <a:r>
                  <a:rPr lang="en-US" sz="1200"/>
                  <a:t>B.uria</a:t>
                </a:r>
                <a:r>
                  <a:rPr lang="en-US" sz="1200" baseline="0"/>
                  <a:t> mg/dl </a:t>
                </a:r>
                <a:endParaRPr lang="en-US" sz="1200"/>
              </a:p>
            </c:rich>
          </c:tx>
          <c:layout>
            <c:manualLayout>
              <c:xMode val="edge"/>
              <c:yMode val="edge"/>
              <c:x val="4.6296296296296675E-3"/>
              <c:y val="0.29421791026121735"/>
            </c:manualLayout>
          </c:layout>
        </c:title>
        <c:numFmt formatCode="General" sourceLinked="1"/>
        <c:tickLblPos val="nextTo"/>
        <c:txPr>
          <a:bodyPr/>
          <a:lstStyle/>
          <a:p>
            <a:pPr>
              <a:defRPr lang="en-US"/>
            </a:pPr>
            <a:endParaRPr lang="ar-IQ"/>
          </a:p>
        </c:txPr>
        <c:crossAx val="101309056"/>
        <c:crosses val="autoZero"/>
        <c:crossBetween val="between"/>
      </c:valAx>
    </c:plotArea>
    <c:legend>
      <c:legendPos val="r"/>
      <c:txPr>
        <a:bodyPr/>
        <a:lstStyle/>
        <a:p>
          <a:pPr>
            <a:defRPr lang="en-US"/>
          </a:pPr>
          <a:endParaRPr lang="ar-IQ"/>
        </a:p>
      </c:txP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ar-IQ"/>
  <c:chart>
    <c:plotArea>
      <c:layout>
        <c:manualLayout>
          <c:layoutTarget val="inner"/>
          <c:xMode val="edge"/>
          <c:yMode val="edge"/>
          <c:x val="0.14154298349692773"/>
          <c:y val="3.9157053042788229E-2"/>
          <c:w val="0.73245352892532256"/>
          <c:h val="0.73940548129158634"/>
        </c:manualLayout>
      </c:layout>
      <c:barChart>
        <c:barDir val="col"/>
        <c:grouping val="clustered"/>
        <c:ser>
          <c:idx val="0"/>
          <c:order val="0"/>
          <c:tx>
            <c:strRef>
              <c:f>Sheet1!$B$1</c:f>
              <c:strCache>
                <c:ptCount val="1"/>
                <c:pt idx="0">
                  <c:v>survived</c:v>
                </c:pt>
              </c:strCache>
            </c:strRef>
          </c:tx>
          <c:cat>
            <c:strRef>
              <c:f>Sheet1!$A$2:$A$4</c:f>
              <c:strCache>
                <c:ptCount val="3"/>
                <c:pt idx="0">
                  <c:v>week1</c:v>
                </c:pt>
                <c:pt idx="1">
                  <c:v>week 2</c:v>
                </c:pt>
                <c:pt idx="2">
                  <c:v>week 3</c:v>
                </c:pt>
              </c:strCache>
            </c:strRef>
          </c:cat>
          <c:val>
            <c:numRef>
              <c:f>Sheet1!$B$2:$B$4</c:f>
              <c:numCache>
                <c:formatCode>General</c:formatCode>
                <c:ptCount val="3"/>
                <c:pt idx="0">
                  <c:v>4.9000000000000004</c:v>
                </c:pt>
                <c:pt idx="1">
                  <c:v>5.53</c:v>
                </c:pt>
                <c:pt idx="2">
                  <c:v>5.9</c:v>
                </c:pt>
              </c:numCache>
            </c:numRef>
          </c:val>
          <c:extLst xmlns:c16r2="http://schemas.microsoft.com/office/drawing/2015/06/chart">
            <c:ext xmlns:c16="http://schemas.microsoft.com/office/drawing/2014/chart" uri="{C3380CC4-5D6E-409C-BE32-E72D297353CC}">
              <c16:uniqueId val="{00000000-3D3C-49E0-90EB-E5FC798E9943}"/>
            </c:ext>
          </c:extLst>
        </c:ser>
        <c:ser>
          <c:idx val="1"/>
          <c:order val="1"/>
          <c:tx>
            <c:strRef>
              <c:f>Sheet1!$C$1</c:f>
              <c:strCache>
                <c:ptCount val="1"/>
                <c:pt idx="0">
                  <c:v>dead</c:v>
                </c:pt>
              </c:strCache>
            </c:strRef>
          </c:tx>
          <c:cat>
            <c:strRef>
              <c:f>Sheet1!$A$2:$A$4</c:f>
              <c:strCache>
                <c:ptCount val="3"/>
                <c:pt idx="0">
                  <c:v>week1</c:v>
                </c:pt>
                <c:pt idx="1">
                  <c:v>week 2</c:v>
                </c:pt>
                <c:pt idx="2">
                  <c:v>week 3</c:v>
                </c:pt>
              </c:strCache>
            </c:strRef>
          </c:cat>
          <c:val>
            <c:numRef>
              <c:f>Sheet1!$C$2:$C$4</c:f>
              <c:numCache>
                <c:formatCode>General</c:formatCode>
                <c:ptCount val="3"/>
                <c:pt idx="0">
                  <c:v>4.5</c:v>
                </c:pt>
                <c:pt idx="1">
                  <c:v>5.2</c:v>
                </c:pt>
                <c:pt idx="2">
                  <c:v>5.5</c:v>
                </c:pt>
              </c:numCache>
            </c:numRef>
          </c:val>
          <c:extLst xmlns:c16r2="http://schemas.microsoft.com/office/drawing/2015/06/chart">
            <c:ext xmlns:c16="http://schemas.microsoft.com/office/drawing/2014/chart" uri="{C3380CC4-5D6E-409C-BE32-E72D297353CC}">
              <c16:uniqueId val="{00000001-3D3C-49E0-90EB-E5FC798E9943}"/>
            </c:ext>
          </c:extLst>
        </c:ser>
        <c:axId val="101278848"/>
        <c:axId val="101280768"/>
      </c:barChart>
      <c:catAx>
        <c:axId val="101278848"/>
        <c:scaling>
          <c:orientation val="minMax"/>
        </c:scaling>
        <c:axPos val="b"/>
        <c:title>
          <c:tx>
            <c:rich>
              <a:bodyPr/>
              <a:lstStyle/>
              <a:p>
                <a:pPr>
                  <a:defRPr lang="en-US"/>
                </a:pPr>
                <a:r>
                  <a:rPr lang="en-US" sz="1200"/>
                  <a:t>weeks</a:t>
                </a:r>
              </a:p>
            </c:rich>
          </c:tx>
          <c:layout>
            <c:manualLayout>
              <c:xMode val="edge"/>
              <c:yMode val="edge"/>
              <c:x val="0.42649424030329541"/>
              <c:y val="0.91011904761904761"/>
            </c:manualLayout>
          </c:layout>
        </c:title>
        <c:numFmt formatCode="General" sourceLinked="0"/>
        <c:tickLblPos val="nextTo"/>
        <c:txPr>
          <a:bodyPr/>
          <a:lstStyle/>
          <a:p>
            <a:pPr>
              <a:defRPr lang="en-US"/>
            </a:pPr>
            <a:endParaRPr lang="ar-IQ"/>
          </a:p>
        </c:txPr>
        <c:crossAx val="101280768"/>
        <c:crosses val="autoZero"/>
        <c:auto val="1"/>
        <c:lblAlgn val="ctr"/>
        <c:lblOffset val="100"/>
      </c:catAx>
      <c:valAx>
        <c:axId val="101280768"/>
        <c:scaling>
          <c:orientation val="minMax"/>
        </c:scaling>
        <c:axPos val="l"/>
        <c:majorGridlines/>
        <c:title>
          <c:tx>
            <c:rich>
              <a:bodyPr rot="-5400000" vert="horz"/>
              <a:lstStyle/>
              <a:p>
                <a:pPr>
                  <a:defRPr lang="en-US"/>
                </a:pPr>
                <a:r>
                  <a:rPr lang="en-US" sz="1200"/>
                  <a:t>Total</a:t>
                </a:r>
                <a:r>
                  <a:rPr lang="en-US" sz="1200" baseline="0"/>
                  <a:t> serum protein g/dl  </a:t>
                </a:r>
                <a:endParaRPr lang="en-US" sz="1200"/>
              </a:p>
            </c:rich>
          </c:tx>
          <c:layout>
            <c:manualLayout>
              <c:xMode val="edge"/>
              <c:yMode val="edge"/>
              <c:x val="1.1574074074074073E-2"/>
              <c:y val="0.18877140357455321"/>
            </c:manualLayout>
          </c:layout>
        </c:title>
        <c:numFmt formatCode="General" sourceLinked="1"/>
        <c:tickLblPos val="nextTo"/>
        <c:txPr>
          <a:bodyPr/>
          <a:lstStyle/>
          <a:p>
            <a:pPr>
              <a:defRPr lang="en-US"/>
            </a:pPr>
            <a:endParaRPr lang="ar-IQ"/>
          </a:p>
        </c:txPr>
        <c:crossAx val="101278848"/>
        <c:crosses val="autoZero"/>
        <c:crossBetween val="between"/>
      </c:valAx>
    </c:plotArea>
    <c:legend>
      <c:legendPos val="r"/>
      <c:txPr>
        <a:bodyPr/>
        <a:lstStyle/>
        <a:p>
          <a:pPr>
            <a:defRPr lang="en-US"/>
          </a:pPr>
          <a:endParaRPr lang="ar-IQ"/>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strRef>
              <c:f>Sheet1!$B$1</c:f>
              <c:strCache>
                <c:ptCount val="1"/>
                <c:pt idx="0">
                  <c:v>Survived </c:v>
                </c:pt>
              </c:strCache>
            </c:strRef>
          </c:tx>
          <c:cat>
            <c:strRef>
              <c:f>Sheet1!$A$2:$A$4</c:f>
              <c:strCache>
                <c:ptCount val="3"/>
                <c:pt idx="0">
                  <c:v>week 1 </c:v>
                </c:pt>
                <c:pt idx="1">
                  <c:v> week 2 </c:v>
                </c:pt>
                <c:pt idx="2">
                  <c:v>week 3 </c:v>
                </c:pt>
              </c:strCache>
            </c:strRef>
          </c:cat>
          <c:val>
            <c:numRef>
              <c:f>Sheet1!$B$2:$B$4</c:f>
              <c:numCache>
                <c:formatCode>General</c:formatCode>
                <c:ptCount val="3"/>
                <c:pt idx="0">
                  <c:v>2.9</c:v>
                </c:pt>
                <c:pt idx="1">
                  <c:v>3.3299999999999987</c:v>
                </c:pt>
                <c:pt idx="2">
                  <c:v>3.36</c:v>
                </c:pt>
              </c:numCache>
            </c:numRef>
          </c:val>
          <c:extLst xmlns:c16r2="http://schemas.microsoft.com/office/drawing/2015/06/chart">
            <c:ext xmlns:c16="http://schemas.microsoft.com/office/drawing/2014/chart" uri="{C3380CC4-5D6E-409C-BE32-E72D297353CC}">
              <c16:uniqueId val="{00000000-FB70-4DB5-A6D6-E5E781652D21}"/>
            </c:ext>
          </c:extLst>
        </c:ser>
        <c:ser>
          <c:idx val="1"/>
          <c:order val="1"/>
          <c:tx>
            <c:strRef>
              <c:f>Sheet1!$C$1</c:f>
              <c:strCache>
                <c:ptCount val="1"/>
                <c:pt idx="0">
                  <c:v>dead</c:v>
                </c:pt>
              </c:strCache>
            </c:strRef>
          </c:tx>
          <c:cat>
            <c:strRef>
              <c:f>Sheet1!$A$2:$A$4</c:f>
              <c:strCache>
                <c:ptCount val="3"/>
                <c:pt idx="0">
                  <c:v>week 1 </c:v>
                </c:pt>
                <c:pt idx="1">
                  <c:v> week 2 </c:v>
                </c:pt>
                <c:pt idx="2">
                  <c:v>week 3 </c:v>
                </c:pt>
              </c:strCache>
            </c:strRef>
          </c:cat>
          <c:val>
            <c:numRef>
              <c:f>Sheet1!$C$2:$C$4</c:f>
              <c:numCache>
                <c:formatCode>General</c:formatCode>
                <c:ptCount val="3"/>
                <c:pt idx="0">
                  <c:v>2.5</c:v>
                </c:pt>
                <c:pt idx="1">
                  <c:v>3.32</c:v>
                </c:pt>
                <c:pt idx="2">
                  <c:v>3.3</c:v>
                </c:pt>
              </c:numCache>
            </c:numRef>
          </c:val>
          <c:extLst xmlns:c16r2="http://schemas.microsoft.com/office/drawing/2015/06/chart">
            <c:ext xmlns:c16="http://schemas.microsoft.com/office/drawing/2014/chart" uri="{C3380CC4-5D6E-409C-BE32-E72D297353CC}">
              <c16:uniqueId val="{00000001-FB70-4DB5-A6D6-E5E781652D21}"/>
            </c:ext>
          </c:extLst>
        </c:ser>
        <c:axId val="101690752"/>
        <c:axId val="101705216"/>
      </c:barChart>
      <c:catAx>
        <c:axId val="101690752"/>
        <c:scaling>
          <c:orientation val="minMax"/>
        </c:scaling>
        <c:axPos val="b"/>
        <c:title>
          <c:tx>
            <c:rich>
              <a:bodyPr/>
              <a:lstStyle/>
              <a:p>
                <a:pPr>
                  <a:defRPr lang="en-US"/>
                </a:pPr>
                <a:r>
                  <a:rPr lang="en-US" sz="1200"/>
                  <a:t>Weeks</a:t>
                </a:r>
              </a:p>
            </c:rich>
          </c:tx>
          <c:layout>
            <c:manualLayout>
              <c:xMode val="edge"/>
              <c:yMode val="edge"/>
              <c:x val="0.43285414843977837"/>
              <c:y val="0.91011904761904761"/>
            </c:manualLayout>
          </c:layout>
        </c:title>
        <c:numFmt formatCode="General" sourceLinked="0"/>
        <c:tickLblPos val="nextTo"/>
        <c:txPr>
          <a:bodyPr/>
          <a:lstStyle/>
          <a:p>
            <a:pPr>
              <a:defRPr lang="en-US"/>
            </a:pPr>
            <a:endParaRPr lang="ar-IQ"/>
          </a:p>
        </c:txPr>
        <c:crossAx val="101705216"/>
        <c:crosses val="autoZero"/>
        <c:auto val="1"/>
        <c:lblAlgn val="ctr"/>
        <c:lblOffset val="100"/>
      </c:catAx>
      <c:valAx>
        <c:axId val="101705216"/>
        <c:scaling>
          <c:orientation val="minMax"/>
        </c:scaling>
        <c:axPos val="l"/>
        <c:majorGridlines/>
        <c:title>
          <c:tx>
            <c:rich>
              <a:bodyPr rot="-5400000" vert="horz"/>
              <a:lstStyle/>
              <a:p>
                <a:pPr>
                  <a:defRPr lang="en-US"/>
                </a:pPr>
                <a:r>
                  <a:rPr lang="en-US" sz="1200"/>
                  <a:t>Serum</a:t>
                </a:r>
                <a:r>
                  <a:rPr lang="en-US" sz="1200" baseline="0"/>
                  <a:t> albumin g/dl </a:t>
                </a:r>
                <a:endParaRPr lang="en-US" sz="1200"/>
              </a:p>
            </c:rich>
          </c:tx>
          <c:layout>
            <c:manualLayout>
              <c:xMode val="edge"/>
              <c:yMode val="edge"/>
              <c:x val="1.1574074074074073E-2"/>
              <c:y val="0.26305711786026748"/>
            </c:manualLayout>
          </c:layout>
        </c:title>
        <c:numFmt formatCode="General" sourceLinked="1"/>
        <c:tickLblPos val="nextTo"/>
        <c:txPr>
          <a:bodyPr/>
          <a:lstStyle/>
          <a:p>
            <a:pPr>
              <a:defRPr lang="en-US"/>
            </a:pPr>
            <a:endParaRPr lang="ar-IQ"/>
          </a:p>
        </c:txPr>
        <c:crossAx val="101690752"/>
        <c:crosses val="autoZero"/>
        <c:crossBetween val="between"/>
      </c:valAx>
    </c:plotArea>
    <c:legend>
      <c:legendPos val="r"/>
      <c:txPr>
        <a:bodyPr/>
        <a:lstStyle/>
        <a:p>
          <a:pPr>
            <a:defRPr lang="en-US"/>
          </a:pPr>
          <a:endParaRPr lang="ar-IQ"/>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strRef>
              <c:f>Sheet1!$B$1</c:f>
              <c:strCache>
                <c:ptCount val="1"/>
                <c:pt idx="0">
                  <c:v>survived</c:v>
                </c:pt>
              </c:strCache>
            </c:strRef>
          </c:tx>
          <c:cat>
            <c:strRef>
              <c:f>Sheet1!$A$2:$A$4</c:f>
              <c:strCache>
                <c:ptCount val="3"/>
                <c:pt idx="0">
                  <c:v>week 1</c:v>
                </c:pt>
                <c:pt idx="1">
                  <c:v>week 2</c:v>
                </c:pt>
                <c:pt idx="2">
                  <c:v>week 3</c:v>
                </c:pt>
              </c:strCache>
            </c:strRef>
          </c:cat>
          <c:val>
            <c:numRef>
              <c:f>Sheet1!$B$2:$B$4</c:f>
              <c:numCache>
                <c:formatCode>General</c:formatCode>
                <c:ptCount val="3"/>
                <c:pt idx="0">
                  <c:v>13.4</c:v>
                </c:pt>
                <c:pt idx="1">
                  <c:v>14.2</c:v>
                </c:pt>
                <c:pt idx="2">
                  <c:v>14.3</c:v>
                </c:pt>
              </c:numCache>
            </c:numRef>
          </c:val>
          <c:extLst xmlns:c16r2="http://schemas.microsoft.com/office/drawing/2015/06/chart">
            <c:ext xmlns:c16="http://schemas.microsoft.com/office/drawing/2014/chart" uri="{C3380CC4-5D6E-409C-BE32-E72D297353CC}">
              <c16:uniqueId val="{00000000-C34F-462A-A5BD-889B437589E9}"/>
            </c:ext>
          </c:extLst>
        </c:ser>
        <c:ser>
          <c:idx val="1"/>
          <c:order val="1"/>
          <c:tx>
            <c:strRef>
              <c:f>Sheet1!$C$1</c:f>
              <c:strCache>
                <c:ptCount val="1"/>
                <c:pt idx="0">
                  <c:v>dead</c:v>
                </c:pt>
              </c:strCache>
            </c:strRef>
          </c:tx>
          <c:cat>
            <c:strRef>
              <c:f>Sheet1!$A$2:$A$4</c:f>
              <c:strCache>
                <c:ptCount val="3"/>
                <c:pt idx="0">
                  <c:v>week 1</c:v>
                </c:pt>
                <c:pt idx="1">
                  <c:v>week 2</c:v>
                </c:pt>
                <c:pt idx="2">
                  <c:v>week 3</c:v>
                </c:pt>
              </c:strCache>
            </c:strRef>
          </c:cat>
          <c:val>
            <c:numRef>
              <c:f>Sheet1!$C$2:$C$4</c:f>
              <c:numCache>
                <c:formatCode>General</c:formatCode>
                <c:ptCount val="3"/>
                <c:pt idx="0">
                  <c:v>11</c:v>
                </c:pt>
                <c:pt idx="1">
                  <c:v>11.9</c:v>
                </c:pt>
                <c:pt idx="2">
                  <c:v>10.8</c:v>
                </c:pt>
              </c:numCache>
            </c:numRef>
          </c:val>
          <c:extLst xmlns:c16r2="http://schemas.microsoft.com/office/drawing/2015/06/chart">
            <c:ext xmlns:c16="http://schemas.microsoft.com/office/drawing/2014/chart" uri="{C3380CC4-5D6E-409C-BE32-E72D297353CC}">
              <c16:uniqueId val="{00000001-C34F-462A-A5BD-889B437589E9}"/>
            </c:ext>
          </c:extLst>
        </c:ser>
        <c:axId val="101504896"/>
        <c:axId val="101552128"/>
      </c:barChart>
      <c:catAx>
        <c:axId val="101504896"/>
        <c:scaling>
          <c:orientation val="minMax"/>
        </c:scaling>
        <c:axPos val="b"/>
        <c:title>
          <c:tx>
            <c:rich>
              <a:bodyPr/>
              <a:lstStyle/>
              <a:p>
                <a:pPr>
                  <a:defRPr lang="en-US"/>
                </a:pPr>
                <a:r>
                  <a:rPr lang="en-US" sz="1200"/>
                  <a:t>Weeks</a:t>
                </a:r>
              </a:p>
            </c:rich>
          </c:tx>
          <c:layout>
            <c:manualLayout>
              <c:xMode val="edge"/>
              <c:yMode val="edge"/>
              <c:x val="0.45306831437737038"/>
              <c:y val="0.9079165104361957"/>
            </c:manualLayout>
          </c:layout>
        </c:title>
        <c:numFmt formatCode="General" sourceLinked="0"/>
        <c:tickLblPos val="nextTo"/>
        <c:txPr>
          <a:bodyPr/>
          <a:lstStyle/>
          <a:p>
            <a:pPr>
              <a:defRPr lang="en-US"/>
            </a:pPr>
            <a:endParaRPr lang="ar-IQ"/>
          </a:p>
        </c:txPr>
        <c:crossAx val="101552128"/>
        <c:crosses val="autoZero"/>
        <c:auto val="1"/>
        <c:lblAlgn val="ctr"/>
        <c:lblOffset val="100"/>
      </c:catAx>
      <c:valAx>
        <c:axId val="101552128"/>
        <c:scaling>
          <c:orientation val="minMax"/>
        </c:scaling>
        <c:axPos val="l"/>
        <c:majorGridlines/>
        <c:title>
          <c:tx>
            <c:rich>
              <a:bodyPr rot="-5400000" vert="horz"/>
              <a:lstStyle/>
              <a:p>
                <a:pPr>
                  <a:defRPr lang="en-US"/>
                </a:pPr>
                <a:r>
                  <a:rPr lang="en-US" sz="1200"/>
                  <a:t>WBC</a:t>
                </a:r>
                <a:r>
                  <a:rPr lang="en-US" sz="1200">
                    <a:latin typeface="Calibri"/>
                    <a:cs typeface="Calibri"/>
                  </a:rPr>
                  <a:t>×10^9</a:t>
                </a:r>
                <a:endParaRPr lang="en-US" sz="1200"/>
              </a:p>
            </c:rich>
          </c:tx>
          <c:layout>
            <c:manualLayout>
              <c:xMode val="edge"/>
              <c:yMode val="edge"/>
              <c:x val="1.1574074074074073E-2"/>
              <c:y val="0.31489251343582247"/>
            </c:manualLayout>
          </c:layout>
        </c:title>
        <c:numFmt formatCode="General" sourceLinked="1"/>
        <c:tickLblPos val="nextTo"/>
        <c:txPr>
          <a:bodyPr/>
          <a:lstStyle/>
          <a:p>
            <a:pPr>
              <a:defRPr lang="en-US"/>
            </a:pPr>
            <a:endParaRPr lang="ar-IQ"/>
          </a:p>
        </c:txPr>
        <c:crossAx val="101504896"/>
        <c:crosses val="autoZero"/>
        <c:crossBetween val="between"/>
      </c:valAx>
    </c:plotArea>
    <c:legend>
      <c:legendPos val="r"/>
      <c:txPr>
        <a:bodyPr/>
        <a:lstStyle/>
        <a:p>
          <a:pPr>
            <a:defRPr lang="en-US"/>
          </a:pPr>
          <a:endParaRPr lang="ar-IQ"/>
        </a:p>
      </c:tx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strRef>
              <c:f>Sheet1!$B$1</c:f>
              <c:strCache>
                <c:ptCount val="1"/>
                <c:pt idx="0">
                  <c:v> leukocytosis</c:v>
                </c:pt>
              </c:strCache>
            </c:strRef>
          </c:tx>
          <c:cat>
            <c:strRef>
              <c:f>Sheet1!$A$2:$A$4</c:f>
              <c:strCache>
                <c:ptCount val="3"/>
                <c:pt idx="0">
                  <c:v>week 1</c:v>
                </c:pt>
                <c:pt idx="1">
                  <c:v>week 2</c:v>
                </c:pt>
                <c:pt idx="2">
                  <c:v>week 3</c:v>
                </c:pt>
              </c:strCache>
            </c:strRef>
          </c:cat>
          <c:val>
            <c:numRef>
              <c:f>Sheet1!$B$2:$B$4</c:f>
              <c:numCache>
                <c:formatCode>General</c:formatCode>
                <c:ptCount val="3"/>
                <c:pt idx="0">
                  <c:v>54.5</c:v>
                </c:pt>
                <c:pt idx="1">
                  <c:v>45</c:v>
                </c:pt>
                <c:pt idx="2">
                  <c:v>54.5</c:v>
                </c:pt>
              </c:numCache>
            </c:numRef>
          </c:val>
          <c:extLst xmlns:c16r2="http://schemas.microsoft.com/office/drawing/2015/06/chart">
            <c:ext xmlns:c16="http://schemas.microsoft.com/office/drawing/2014/chart" uri="{C3380CC4-5D6E-409C-BE32-E72D297353CC}">
              <c16:uniqueId val="{00000000-0BEF-437E-BDCB-B7184FFB4653}"/>
            </c:ext>
          </c:extLst>
        </c:ser>
        <c:ser>
          <c:idx val="1"/>
          <c:order val="1"/>
          <c:tx>
            <c:strRef>
              <c:f>Sheet1!$C$1</c:f>
              <c:strCache>
                <c:ptCount val="1"/>
                <c:pt idx="0">
                  <c:v>normal</c:v>
                </c:pt>
              </c:strCache>
            </c:strRef>
          </c:tx>
          <c:cat>
            <c:strRef>
              <c:f>Sheet1!$A$2:$A$4</c:f>
              <c:strCache>
                <c:ptCount val="3"/>
                <c:pt idx="0">
                  <c:v>week 1</c:v>
                </c:pt>
                <c:pt idx="1">
                  <c:v>week 2</c:v>
                </c:pt>
                <c:pt idx="2">
                  <c:v>week 3</c:v>
                </c:pt>
              </c:strCache>
            </c:strRef>
          </c:cat>
          <c:val>
            <c:numRef>
              <c:f>Sheet1!$C$2:$C$4</c:f>
              <c:numCache>
                <c:formatCode>General</c:formatCode>
                <c:ptCount val="3"/>
                <c:pt idx="0">
                  <c:v>27.27</c:v>
                </c:pt>
                <c:pt idx="1">
                  <c:v>54.5</c:v>
                </c:pt>
                <c:pt idx="2">
                  <c:v>36.300000000000004</c:v>
                </c:pt>
              </c:numCache>
            </c:numRef>
          </c:val>
          <c:extLst xmlns:c16r2="http://schemas.microsoft.com/office/drawing/2015/06/chart">
            <c:ext xmlns:c16="http://schemas.microsoft.com/office/drawing/2014/chart" uri="{C3380CC4-5D6E-409C-BE32-E72D297353CC}">
              <c16:uniqueId val="{00000001-0BEF-437E-BDCB-B7184FFB4653}"/>
            </c:ext>
          </c:extLst>
        </c:ser>
        <c:ser>
          <c:idx val="2"/>
          <c:order val="2"/>
          <c:tx>
            <c:strRef>
              <c:f>Sheet1!$D$1</c:f>
              <c:strCache>
                <c:ptCount val="1"/>
                <c:pt idx="0">
                  <c:v>leukopenia</c:v>
                </c:pt>
              </c:strCache>
            </c:strRef>
          </c:tx>
          <c:cat>
            <c:strRef>
              <c:f>Sheet1!$A$2:$A$4</c:f>
              <c:strCache>
                <c:ptCount val="3"/>
                <c:pt idx="0">
                  <c:v>week 1</c:v>
                </c:pt>
                <c:pt idx="1">
                  <c:v>week 2</c:v>
                </c:pt>
                <c:pt idx="2">
                  <c:v>week 3</c:v>
                </c:pt>
              </c:strCache>
            </c:strRef>
          </c:cat>
          <c:val>
            <c:numRef>
              <c:f>Sheet1!$D$2:$D$4</c:f>
              <c:numCache>
                <c:formatCode>General</c:formatCode>
                <c:ptCount val="3"/>
                <c:pt idx="0">
                  <c:v>18.18</c:v>
                </c:pt>
                <c:pt idx="1">
                  <c:v>0</c:v>
                </c:pt>
                <c:pt idx="2">
                  <c:v>9</c:v>
                </c:pt>
              </c:numCache>
            </c:numRef>
          </c:val>
          <c:extLst xmlns:c16r2="http://schemas.microsoft.com/office/drawing/2015/06/chart">
            <c:ext xmlns:c16="http://schemas.microsoft.com/office/drawing/2014/chart" uri="{C3380CC4-5D6E-409C-BE32-E72D297353CC}">
              <c16:uniqueId val="{00000002-0BEF-437E-BDCB-B7184FFB4653}"/>
            </c:ext>
          </c:extLst>
        </c:ser>
        <c:axId val="101741696"/>
        <c:axId val="101743616"/>
      </c:barChart>
      <c:catAx>
        <c:axId val="101741696"/>
        <c:scaling>
          <c:orientation val="minMax"/>
        </c:scaling>
        <c:axPos val="b"/>
        <c:title>
          <c:tx>
            <c:rich>
              <a:bodyPr/>
              <a:lstStyle/>
              <a:p>
                <a:pPr>
                  <a:defRPr lang="en-US"/>
                </a:pPr>
                <a:r>
                  <a:rPr lang="en-US" sz="1200"/>
                  <a:t>Weeks</a:t>
                </a:r>
                <a:r>
                  <a:rPr lang="en-US" baseline="0"/>
                  <a:t> </a:t>
                </a:r>
                <a:endParaRPr lang="en-US"/>
              </a:p>
            </c:rich>
          </c:tx>
          <c:layout>
            <c:manualLayout>
              <c:xMode val="edge"/>
              <c:yMode val="edge"/>
              <c:x val="0.42420257363663055"/>
              <c:y val="0.91011904761904761"/>
            </c:manualLayout>
          </c:layout>
        </c:title>
        <c:numFmt formatCode="General" sourceLinked="0"/>
        <c:tickLblPos val="nextTo"/>
        <c:txPr>
          <a:bodyPr/>
          <a:lstStyle/>
          <a:p>
            <a:pPr>
              <a:defRPr lang="en-US"/>
            </a:pPr>
            <a:endParaRPr lang="ar-IQ"/>
          </a:p>
        </c:txPr>
        <c:crossAx val="101743616"/>
        <c:crosses val="autoZero"/>
        <c:auto val="1"/>
        <c:lblAlgn val="ctr"/>
        <c:lblOffset val="100"/>
      </c:catAx>
      <c:valAx>
        <c:axId val="101743616"/>
        <c:scaling>
          <c:orientation val="minMax"/>
        </c:scaling>
        <c:axPos val="l"/>
        <c:majorGridlines/>
        <c:title>
          <c:tx>
            <c:rich>
              <a:bodyPr rot="-5400000" vert="horz"/>
              <a:lstStyle/>
              <a:p>
                <a:pPr>
                  <a:defRPr lang="en-US"/>
                </a:pPr>
                <a:r>
                  <a:rPr lang="en-US" sz="1200"/>
                  <a:t> persentage</a:t>
                </a:r>
              </a:p>
            </c:rich>
          </c:tx>
          <c:layout>
            <c:manualLayout>
              <c:xMode val="edge"/>
              <c:yMode val="edge"/>
              <c:x val="1.6203703703703703E-2"/>
              <c:y val="0.31092425946756885"/>
            </c:manualLayout>
          </c:layout>
        </c:title>
        <c:numFmt formatCode="General" sourceLinked="1"/>
        <c:tickLblPos val="nextTo"/>
        <c:txPr>
          <a:bodyPr/>
          <a:lstStyle/>
          <a:p>
            <a:pPr>
              <a:defRPr lang="en-US"/>
            </a:pPr>
            <a:endParaRPr lang="ar-IQ"/>
          </a:p>
        </c:txPr>
        <c:crossAx val="101741696"/>
        <c:crosses val="autoZero"/>
        <c:crossBetween val="between"/>
      </c:valAx>
    </c:plotArea>
    <c:legend>
      <c:legendPos val="r"/>
      <c:txPr>
        <a:bodyPr/>
        <a:lstStyle/>
        <a:p>
          <a:pPr>
            <a:defRPr lang="en-US"/>
          </a:pPr>
          <a:endParaRPr lang="ar-IQ"/>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hart>
    <c:title>
      <c:tx>
        <c:rich>
          <a:bodyPr/>
          <a:lstStyle/>
          <a:p>
            <a:pPr>
              <a:defRPr lang="en-US"/>
            </a:pPr>
            <a:endParaRPr lang="en-US"/>
          </a:p>
        </c:rich>
      </c:tx>
    </c:title>
    <c:plotArea>
      <c:layout/>
      <c:barChart>
        <c:barDir val="col"/>
        <c:grouping val="clustered"/>
        <c:ser>
          <c:idx val="0"/>
          <c:order val="0"/>
          <c:tx>
            <c:strRef>
              <c:f>Sheet1!$B$1</c:f>
              <c:strCache>
                <c:ptCount val="1"/>
                <c:pt idx="0">
                  <c:v>Mean</c:v>
                </c:pt>
              </c:strCache>
            </c:strRef>
          </c:tx>
          <c:cat>
            <c:strRef>
              <c:f>Sheet1!$A$2:$A$4</c:f>
              <c:strCache>
                <c:ptCount val="3"/>
                <c:pt idx="0">
                  <c:v>Week 1</c:v>
                </c:pt>
                <c:pt idx="1">
                  <c:v>Week 2</c:v>
                </c:pt>
                <c:pt idx="2">
                  <c:v>Week 3</c:v>
                </c:pt>
              </c:strCache>
            </c:strRef>
          </c:cat>
          <c:val>
            <c:numRef>
              <c:f>Sheet1!$B$2:$B$4</c:f>
              <c:numCache>
                <c:formatCode>General</c:formatCode>
                <c:ptCount val="3"/>
                <c:pt idx="0">
                  <c:v>11.96</c:v>
                </c:pt>
                <c:pt idx="1">
                  <c:v>14</c:v>
                </c:pt>
                <c:pt idx="2">
                  <c:v>13.6</c:v>
                </c:pt>
              </c:numCache>
            </c:numRef>
          </c:val>
          <c:extLst xmlns:c16r2="http://schemas.microsoft.com/office/drawing/2015/06/chart">
            <c:ext xmlns:c16="http://schemas.microsoft.com/office/drawing/2014/chart" uri="{C3380CC4-5D6E-409C-BE32-E72D297353CC}">
              <c16:uniqueId val="{00000000-BADB-4A2F-BF78-FEC83F71BD35}"/>
            </c:ext>
          </c:extLst>
        </c:ser>
        <c:axId val="138485120"/>
        <c:axId val="142893056"/>
      </c:barChart>
      <c:catAx>
        <c:axId val="138485120"/>
        <c:scaling>
          <c:orientation val="minMax"/>
        </c:scaling>
        <c:axPos val="b"/>
        <c:title>
          <c:tx>
            <c:rich>
              <a:bodyPr/>
              <a:lstStyle/>
              <a:p>
                <a:pPr>
                  <a:defRPr lang="en-US"/>
                </a:pPr>
                <a:r>
                  <a:rPr lang="en-US"/>
                  <a:t>Weeks </a:t>
                </a:r>
              </a:p>
            </c:rich>
          </c:tx>
          <c:layout>
            <c:manualLayout>
              <c:xMode val="edge"/>
              <c:yMode val="edge"/>
              <c:x val="0.45623997521143189"/>
              <c:y val="0.91408730158730156"/>
            </c:manualLayout>
          </c:layout>
        </c:title>
        <c:numFmt formatCode="General" sourceLinked="0"/>
        <c:tickLblPos val="nextTo"/>
        <c:txPr>
          <a:bodyPr/>
          <a:lstStyle/>
          <a:p>
            <a:pPr>
              <a:defRPr lang="en-US"/>
            </a:pPr>
            <a:endParaRPr lang="ar-IQ"/>
          </a:p>
        </c:txPr>
        <c:crossAx val="142893056"/>
        <c:crosses val="autoZero"/>
        <c:auto val="1"/>
        <c:lblAlgn val="ctr"/>
        <c:lblOffset val="100"/>
      </c:catAx>
      <c:valAx>
        <c:axId val="142893056"/>
        <c:scaling>
          <c:orientation val="minMax"/>
        </c:scaling>
        <c:axPos val="l"/>
        <c:majorGridlines/>
        <c:title>
          <c:tx>
            <c:rich>
              <a:bodyPr rot="-5400000" vert="horz"/>
              <a:lstStyle/>
              <a:p>
                <a:pPr>
                  <a:defRPr lang="en-US"/>
                </a:pPr>
                <a:r>
                  <a:rPr lang="en-US"/>
                  <a:t>WBC ×10^9</a:t>
                </a:r>
              </a:p>
            </c:rich>
          </c:tx>
          <c:layout>
            <c:manualLayout>
              <c:xMode val="edge"/>
              <c:yMode val="edge"/>
              <c:x val="1.8518518518518583E-2"/>
              <c:y val="0.41289838770153731"/>
            </c:manualLayout>
          </c:layout>
        </c:title>
        <c:numFmt formatCode="General" sourceLinked="1"/>
        <c:tickLblPos val="nextTo"/>
        <c:txPr>
          <a:bodyPr/>
          <a:lstStyle/>
          <a:p>
            <a:pPr>
              <a:defRPr lang="en-US"/>
            </a:pPr>
            <a:endParaRPr lang="ar-IQ"/>
          </a:p>
        </c:txPr>
        <c:crossAx val="138485120"/>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strRef>
              <c:f>Sheet1!$B$1</c:f>
              <c:strCache>
                <c:ptCount val="1"/>
                <c:pt idx="0">
                  <c:v>Leukocytosis</c:v>
                </c:pt>
              </c:strCache>
            </c:strRef>
          </c:tx>
          <c:cat>
            <c:strRef>
              <c:f>Sheet1!$A$2:$A$4</c:f>
              <c:strCache>
                <c:ptCount val="3"/>
                <c:pt idx="0">
                  <c:v>week  1</c:v>
                </c:pt>
                <c:pt idx="1">
                  <c:v>week  2</c:v>
                </c:pt>
                <c:pt idx="2">
                  <c:v>week 3</c:v>
                </c:pt>
              </c:strCache>
            </c:strRef>
          </c:cat>
          <c:val>
            <c:numRef>
              <c:f>Sheet1!$B$2:$B$4</c:f>
              <c:numCache>
                <c:formatCode>0%</c:formatCode>
                <c:ptCount val="3"/>
                <c:pt idx="0">
                  <c:v>0.48000000000000032</c:v>
                </c:pt>
                <c:pt idx="1">
                  <c:v>0.64000000000000423</c:v>
                </c:pt>
                <c:pt idx="2" formatCode="0.00%">
                  <c:v>0.68500000000000061</c:v>
                </c:pt>
              </c:numCache>
            </c:numRef>
          </c:val>
          <c:extLst xmlns:c16r2="http://schemas.microsoft.com/office/drawing/2015/06/chart">
            <c:ext xmlns:c16="http://schemas.microsoft.com/office/drawing/2014/chart" uri="{C3380CC4-5D6E-409C-BE32-E72D297353CC}">
              <c16:uniqueId val="{00000000-785B-4900-ACAC-9F5FDA63B61B}"/>
            </c:ext>
          </c:extLst>
        </c:ser>
        <c:ser>
          <c:idx val="1"/>
          <c:order val="1"/>
          <c:tx>
            <c:strRef>
              <c:f>Sheet1!$C$1</c:f>
              <c:strCache>
                <c:ptCount val="1"/>
                <c:pt idx="0">
                  <c:v>Normal </c:v>
                </c:pt>
              </c:strCache>
            </c:strRef>
          </c:tx>
          <c:cat>
            <c:strRef>
              <c:f>Sheet1!$A$2:$A$4</c:f>
              <c:strCache>
                <c:ptCount val="3"/>
                <c:pt idx="0">
                  <c:v>week  1</c:v>
                </c:pt>
                <c:pt idx="1">
                  <c:v>week  2</c:v>
                </c:pt>
                <c:pt idx="2">
                  <c:v>week 3</c:v>
                </c:pt>
              </c:strCache>
            </c:strRef>
          </c:cat>
          <c:val>
            <c:numRef>
              <c:f>Sheet1!$C$2:$C$4</c:f>
              <c:numCache>
                <c:formatCode>0%</c:formatCode>
                <c:ptCount val="3"/>
                <c:pt idx="0">
                  <c:v>0.5</c:v>
                </c:pt>
                <c:pt idx="1">
                  <c:v>0.36000000000000032</c:v>
                </c:pt>
                <c:pt idx="2" formatCode="0.00%">
                  <c:v>0.30300000000000032</c:v>
                </c:pt>
              </c:numCache>
            </c:numRef>
          </c:val>
          <c:extLst xmlns:c16r2="http://schemas.microsoft.com/office/drawing/2015/06/chart">
            <c:ext xmlns:c16="http://schemas.microsoft.com/office/drawing/2014/chart" uri="{C3380CC4-5D6E-409C-BE32-E72D297353CC}">
              <c16:uniqueId val="{00000001-785B-4900-ACAC-9F5FDA63B61B}"/>
            </c:ext>
          </c:extLst>
        </c:ser>
        <c:ser>
          <c:idx val="2"/>
          <c:order val="2"/>
          <c:tx>
            <c:strRef>
              <c:f>Sheet1!$D$1</c:f>
              <c:strCache>
                <c:ptCount val="1"/>
                <c:pt idx="0">
                  <c:v>Leukopenia</c:v>
                </c:pt>
              </c:strCache>
            </c:strRef>
          </c:tx>
          <c:cat>
            <c:strRef>
              <c:f>Sheet1!$A$2:$A$4</c:f>
              <c:strCache>
                <c:ptCount val="3"/>
                <c:pt idx="0">
                  <c:v>week  1</c:v>
                </c:pt>
                <c:pt idx="1">
                  <c:v>week  2</c:v>
                </c:pt>
                <c:pt idx="2">
                  <c:v>week 3</c:v>
                </c:pt>
              </c:strCache>
            </c:strRef>
          </c:cat>
          <c:val>
            <c:numRef>
              <c:f>Sheet1!$D$2:$D$4</c:f>
              <c:numCache>
                <c:formatCode>0%</c:formatCode>
                <c:ptCount val="3"/>
                <c:pt idx="0">
                  <c:v>2.0000000000000014E-2</c:v>
                </c:pt>
                <c:pt idx="1">
                  <c:v>0</c:v>
                </c:pt>
                <c:pt idx="2">
                  <c:v>1.0000000000000007E-2</c:v>
                </c:pt>
              </c:numCache>
            </c:numRef>
          </c:val>
          <c:extLst xmlns:c16r2="http://schemas.microsoft.com/office/drawing/2015/06/chart">
            <c:ext xmlns:c16="http://schemas.microsoft.com/office/drawing/2014/chart" uri="{C3380CC4-5D6E-409C-BE32-E72D297353CC}">
              <c16:uniqueId val="{00000002-785B-4900-ACAC-9F5FDA63B61B}"/>
            </c:ext>
          </c:extLst>
        </c:ser>
        <c:axId val="101773696"/>
        <c:axId val="101775616"/>
      </c:barChart>
      <c:catAx>
        <c:axId val="101773696"/>
        <c:scaling>
          <c:orientation val="minMax"/>
        </c:scaling>
        <c:axPos val="b"/>
        <c:title>
          <c:tx>
            <c:rich>
              <a:bodyPr/>
              <a:lstStyle/>
              <a:p>
                <a:pPr>
                  <a:defRPr lang="en-US"/>
                </a:pPr>
                <a:r>
                  <a:rPr lang="en-US" sz="1200"/>
                  <a:t>Weeks</a:t>
                </a:r>
              </a:p>
            </c:rich>
          </c:tx>
          <c:layout>
            <c:manualLayout>
              <c:xMode val="edge"/>
              <c:yMode val="edge"/>
              <c:x val="0.42130905511811034"/>
              <c:y val="0.9299603174603176"/>
            </c:manualLayout>
          </c:layout>
        </c:title>
        <c:numFmt formatCode="General" sourceLinked="0"/>
        <c:tickLblPos val="nextTo"/>
        <c:txPr>
          <a:bodyPr/>
          <a:lstStyle/>
          <a:p>
            <a:pPr>
              <a:defRPr lang="en-US"/>
            </a:pPr>
            <a:endParaRPr lang="ar-IQ"/>
          </a:p>
        </c:txPr>
        <c:crossAx val="101775616"/>
        <c:crosses val="autoZero"/>
        <c:auto val="1"/>
        <c:lblAlgn val="ctr"/>
        <c:lblOffset val="100"/>
      </c:catAx>
      <c:valAx>
        <c:axId val="101775616"/>
        <c:scaling>
          <c:orientation val="minMax"/>
        </c:scaling>
        <c:axPos val="l"/>
        <c:majorGridlines/>
        <c:title>
          <c:tx>
            <c:rich>
              <a:bodyPr rot="-5400000" vert="horz"/>
              <a:lstStyle/>
              <a:p>
                <a:pPr>
                  <a:defRPr lang="en-US"/>
                </a:pPr>
                <a:r>
                  <a:rPr lang="en-US" sz="1200"/>
                  <a:t>Precentage</a:t>
                </a:r>
                <a:r>
                  <a:rPr lang="en-US" baseline="0"/>
                  <a:t> </a:t>
                </a:r>
                <a:endParaRPr lang="en-US"/>
              </a:p>
            </c:rich>
          </c:tx>
          <c:layout>
            <c:manualLayout>
              <c:xMode val="edge"/>
              <c:yMode val="edge"/>
              <c:x val="9.2592592592593819E-3"/>
              <c:y val="0.3081958505186852"/>
            </c:manualLayout>
          </c:layout>
        </c:title>
        <c:numFmt formatCode="0%" sourceLinked="1"/>
        <c:tickLblPos val="nextTo"/>
        <c:txPr>
          <a:bodyPr/>
          <a:lstStyle/>
          <a:p>
            <a:pPr>
              <a:defRPr lang="en-US"/>
            </a:pPr>
            <a:endParaRPr lang="ar-IQ"/>
          </a:p>
        </c:txPr>
        <c:crossAx val="101773696"/>
        <c:crosses val="autoZero"/>
        <c:crossBetween val="between"/>
      </c:valAx>
    </c:plotArea>
    <c:legend>
      <c:legendPos val="r"/>
      <c:txPr>
        <a:bodyPr/>
        <a:lstStyle/>
        <a:p>
          <a:pPr>
            <a:defRPr lang="en-US"/>
          </a:pPr>
          <a:endParaRPr lang="ar-IQ"/>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barChart>
        <c:barDir val="col"/>
        <c:grouping val="clustered"/>
        <c:ser>
          <c:idx val="0"/>
          <c:order val="0"/>
          <c:tx>
            <c:strRef>
              <c:f>Sheet1!$B$1</c:f>
              <c:strCache>
                <c:ptCount val="1"/>
                <c:pt idx="0">
                  <c:v>mean </c:v>
                </c:pt>
              </c:strCache>
            </c:strRef>
          </c:tx>
          <c:cat>
            <c:strRef>
              <c:f>Sheet1!$A$2:$A$4</c:f>
              <c:strCache>
                <c:ptCount val="3"/>
                <c:pt idx="0">
                  <c:v>Week 1</c:v>
                </c:pt>
                <c:pt idx="1">
                  <c:v>Week 2</c:v>
                </c:pt>
                <c:pt idx="2">
                  <c:v>Week 3</c:v>
                </c:pt>
              </c:strCache>
            </c:strRef>
          </c:cat>
          <c:val>
            <c:numRef>
              <c:f>Sheet1!$B$2:$B$4</c:f>
              <c:numCache>
                <c:formatCode>General</c:formatCode>
                <c:ptCount val="3"/>
                <c:pt idx="0">
                  <c:v>197</c:v>
                </c:pt>
                <c:pt idx="1">
                  <c:v>274</c:v>
                </c:pt>
                <c:pt idx="2">
                  <c:v>344</c:v>
                </c:pt>
              </c:numCache>
            </c:numRef>
          </c:val>
          <c:extLst xmlns:c16r2="http://schemas.microsoft.com/office/drawing/2015/06/chart">
            <c:ext xmlns:c16="http://schemas.microsoft.com/office/drawing/2014/chart" uri="{C3380CC4-5D6E-409C-BE32-E72D297353CC}">
              <c16:uniqueId val="{00000000-B44A-47FD-A939-6BAA0464F704}"/>
            </c:ext>
          </c:extLst>
        </c:ser>
        <c:axId val="146567168"/>
        <c:axId val="146761216"/>
      </c:barChart>
      <c:catAx>
        <c:axId val="146567168"/>
        <c:scaling>
          <c:orientation val="minMax"/>
        </c:scaling>
        <c:axPos val="b"/>
        <c:title>
          <c:tx>
            <c:rich>
              <a:bodyPr/>
              <a:lstStyle/>
              <a:p>
                <a:pPr>
                  <a:defRPr lang="en-US"/>
                </a:pPr>
                <a:r>
                  <a:rPr lang="en-US"/>
                  <a:t>Weeks </a:t>
                </a:r>
              </a:p>
            </c:rich>
          </c:tx>
        </c:title>
        <c:numFmt formatCode="General" sourceLinked="0"/>
        <c:tickLblPos val="nextTo"/>
        <c:txPr>
          <a:bodyPr/>
          <a:lstStyle/>
          <a:p>
            <a:pPr>
              <a:defRPr lang="en-US"/>
            </a:pPr>
            <a:endParaRPr lang="ar-IQ"/>
          </a:p>
        </c:txPr>
        <c:crossAx val="146761216"/>
        <c:crosses val="autoZero"/>
        <c:auto val="1"/>
        <c:lblAlgn val="ctr"/>
        <c:lblOffset val="100"/>
      </c:catAx>
      <c:valAx>
        <c:axId val="146761216"/>
        <c:scaling>
          <c:orientation val="minMax"/>
        </c:scaling>
        <c:axPos val="l"/>
        <c:majorGridlines/>
        <c:title>
          <c:tx>
            <c:rich>
              <a:bodyPr rot="-5400000" vert="horz"/>
              <a:lstStyle/>
              <a:p>
                <a:pPr>
                  <a:defRPr lang="en-US"/>
                </a:pPr>
                <a:r>
                  <a:rPr lang="en-US"/>
                  <a:t>PLT×10^9 </a:t>
                </a:r>
              </a:p>
            </c:rich>
          </c:tx>
          <c:layout>
            <c:manualLayout>
              <c:xMode val="edge"/>
              <c:yMode val="edge"/>
              <c:x val="2.3148148148148147E-2"/>
              <c:y val="0.44703537057867765"/>
            </c:manualLayout>
          </c:layout>
        </c:title>
        <c:numFmt formatCode="General" sourceLinked="1"/>
        <c:tickLblPos val="nextTo"/>
        <c:txPr>
          <a:bodyPr/>
          <a:lstStyle/>
          <a:p>
            <a:pPr>
              <a:defRPr lang="en-US"/>
            </a:pPr>
            <a:endParaRPr lang="ar-IQ"/>
          </a:p>
        </c:txPr>
        <c:crossAx val="146567168"/>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barChart>
        <c:barDir val="col"/>
        <c:grouping val="clustered"/>
        <c:ser>
          <c:idx val="0"/>
          <c:order val="0"/>
          <c:tx>
            <c:strRef>
              <c:f>Sheet1!$B$1</c:f>
              <c:strCache>
                <c:ptCount val="1"/>
                <c:pt idx="0">
                  <c:v>Mean</c:v>
                </c:pt>
              </c:strCache>
            </c:strRef>
          </c:tx>
          <c:cat>
            <c:strRef>
              <c:f>Sheet1!$A$2:$A$4</c:f>
              <c:strCache>
                <c:ptCount val="3"/>
                <c:pt idx="0">
                  <c:v>Week 1</c:v>
                </c:pt>
                <c:pt idx="1">
                  <c:v>Week 2</c:v>
                </c:pt>
                <c:pt idx="2">
                  <c:v>Week 3</c:v>
                </c:pt>
              </c:strCache>
            </c:strRef>
          </c:cat>
          <c:val>
            <c:numRef>
              <c:f>Sheet1!$B$2:$B$4</c:f>
              <c:numCache>
                <c:formatCode>General</c:formatCode>
                <c:ptCount val="3"/>
                <c:pt idx="0">
                  <c:v>32.5</c:v>
                </c:pt>
                <c:pt idx="1">
                  <c:v>24.7</c:v>
                </c:pt>
                <c:pt idx="2">
                  <c:v>23</c:v>
                </c:pt>
              </c:numCache>
            </c:numRef>
          </c:val>
          <c:extLst xmlns:c16r2="http://schemas.microsoft.com/office/drawing/2015/06/chart">
            <c:ext xmlns:c16="http://schemas.microsoft.com/office/drawing/2014/chart" uri="{C3380CC4-5D6E-409C-BE32-E72D297353CC}">
              <c16:uniqueId val="{00000000-F008-40EF-93CA-42A61560986C}"/>
            </c:ext>
          </c:extLst>
        </c:ser>
        <c:axId val="147914112"/>
        <c:axId val="148140032"/>
      </c:barChart>
      <c:catAx>
        <c:axId val="147914112"/>
        <c:scaling>
          <c:orientation val="minMax"/>
        </c:scaling>
        <c:axPos val="b"/>
        <c:title>
          <c:tx>
            <c:rich>
              <a:bodyPr/>
              <a:lstStyle/>
              <a:p>
                <a:pPr>
                  <a:defRPr lang="en-US"/>
                </a:pPr>
                <a:r>
                  <a:rPr lang="en-US"/>
                  <a:t>Weeks </a:t>
                </a:r>
              </a:p>
            </c:rich>
          </c:tx>
        </c:title>
        <c:numFmt formatCode="General" sourceLinked="0"/>
        <c:tickLblPos val="nextTo"/>
        <c:txPr>
          <a:bodyPr/>
          <a:lstStyle/>
          <a:p>
            <a:pPr>
              <a:defRPr lang="en-US"/>
            </a:pPr>
            <a:endParaRPr lang="ar-IQ"/>
          </a:p>
        </c:txPr>
        <c:crossAx val="148140032"/>
        <c:crosses val="autoZero"/>
        <c:auto val="1"/>
        <c:lblAlgn val="ctr"/>
        <c:lblOffset val="100"/>
      </c:catAx>
      <c:valAx>
        <c:axId val="148140032"/>
        <c:scaling>
          <c:orientation val="minMax"/>
        </c:scaling>
        <c:axPos val="l"/>
        <c:majorGridlines/>
        <c:title>
          <c:tx>
            <c:rich>
              <a:bodyPr rot="-5400000" vert="horz"/>
              <a:lstStyle/>
              <a:p>
                <a:pPr>
                  <a:defRPr lang="en-US"/>
                </a:pPr>
                <a:r>
                  <a:rPr lang="en-US"/>
                  <a:t>B.Urea mg/dl </a:t>
                </a:r>
              </a:p>
            </c:rich>
          </c:tx>
        </c:title>
        <c:numFmt formatCode="General" sourceLinked="1"/>
        <c:tickLblPos val="nextTo"/>
        <c:txPr>
          <a:bodyPr/>
          <a:lstStyle/>
          <a:p>
            <a:pPr>
              <a:defRPr lang="en-US"/>
            </a:pPr>
            <a:endParaRPr lang="ar-IQ"/>
          </a:p>
        </c:txPr>
        <c:crossAx val="147914112"/>
        <c:crosses val="autoZero"/>
        <c:crossBetween val="between"/>
      </c:valAx>
      <c:spPr>
        <a:noFill/>
        <a:ln w="25400">
          <a:noFill/>
        </a:ln>
      </c:spPr>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barChart>
        <c:barDir val="col"/>
        <c:grouping val="clustered"/>
        <c:ser>
          <c:idx val="0"/>
          <c:order val="0"/>
          <c:tx>
            <c:strRef>
              <c:f>Sheet1!$B$1</c:f>
              <c:strCache>
                <c:ptCount val="1"/>
                <c:pt idx="0">
                  <c:v>mean </c:v>
                </c:pt>
              </c:strCache>
            </c:strRef>
          </c:tx>
          <c:cat>
            <c:strRef>
              <c:f>Sheet1!$A$2:$A$4</c:f>
              <c:strCache>
                <c:ptCount val="3"/>
                <c:pt idx="0">
                  <c:v>Week 1</c:v>
                </c:pt>
                <c:pt idx="1">
                  <c:v>Week 2</c:v>
                </c:pt>
                <c:pt idx="2">
                  <c:v>Week 3</c:v>
                </c:pt>
              </c:strCache>
            </c:strRef>
          </c:cat>
          <c:val>
            <c:numRef>
              <c:f>Sheet1!$B$2:$B$4</c:f>
              <c:numCache>
                <c:formatCode>General</c:formatCode>
                <c:ptCount val="3"/>
                <c:pt idx="0">
                  <c:v>0.75000000000000477</c:v>
                </c:pt>
                <c:pt idx="1">
                  <c:v>0.58000000000000007</c:v>
                </c:pt>
                <c:pt idx="2">
                  <c:v>0.63000000000000522</c:v>
                </c:pt>
              </c:numCache>
            </c:numRef>
          </c:val>
          <c:extLst xmlns:c16r2="http://schemas.microsoft.com/office/drawing/2015/06/chart">
            <c:ext xmlns:c16="http://schemas.microsoft.com/office/drawing/2014/chart" uri="{C3380CC4-5D6E-409C-BE32-E72D297353CC}">
              <c16:uniqueId val="{00000000-F461-49BF-85E8-07E43CB72285}"/>
            </c:ext>
          </c:extLst>
        </c:ser>
        <c:axId val="148198528"/>
        <c:axId val="174235648"/>
      </c:barChart>
      <c:catAx>
        <c:axId val="148198528"/>
        <c:scaling>
          <c:orientation val="minMax"/>
        </c:scaling>
        <c:axPos val="b"/>
        <c:title>
          <c:tx>
            <c:rich>
              <a:bodyPr/>
              <a:lstStyle/>
              <a:p>
                <a:pPr>
                  <a:defRPr lang="en-US"/>
                </a:pPr>
                <a:r>
                  <a:rPr lang="en-US"/>
                  <a:t>Weeks </a:t>
                </a:r>
              </a:p>
            </c:rich>
          </c:tx>
          <c:layout>
            <c:manualLayout>
              <c:xMode val="edge"/>
              <c:yMode val="edge"/>
              <c:x val="0.44660451297754683"/>
              <c:y val="0.8982142857142803"/>
            </c:manualLayout>
          </c:layout>
        </c:title>
        <c:numFmt formatCode="General" sourceLinked="0"/>
        <c:tickLblPos val="nextTo"/>
        <c:txPr>
          <a:bodyPr/>
          <a:lstStyle/>
          <a:p>
            <a:pPr>
              <a:defRPr lang="en-US"/>
            </a:pPr>
            <a:endParaRPr lang="ar-IQ"/>
          </a:p>
        </c:txPr>
        <c:crossAx val="174235648"/>
        <c:crosses val="autoZero"/>
        <c:auto val="1"/>
        <c:lblAlgn val="ctr"/>
        <c:lblOffset val="100"/>
      </c:catAx>
      <c:valAx>
        <c:axId val="174235648"/>
        <c:scaling>
          <c:orientation val="minMax"/>
        </c:scaling>
        <c:axPos val="l"/>
        <c:majorGridlines/>
        <c:title>
          <c:tx>
            <c:rich>
              <a:bodyPr rot="-5400000" vert="horz"/>
              <a:lstStyle/>
              <a:p>
                <a:pPr>
                  <a:defRPr lang="en-US"/>
                </a:pPr>
                <a:r>
                  <a:rPr lang="en-US"/>
                  <a:t>S. Creatinine mg/dl   </a:t>
                </a:r>
              </a:p>
            </c:rich>
          </c:tx>
          <c:layout>
            <c:manualLayout>
              <c:xMode val="edge"/>
              <c:yMode val="edge"/>
              <c:x val="1.1574074074074073E-2"/>
              <c:y val="0.28942632170979044"/>
            </c:manualLayout>
          </c:layout>
        </c:title>
        <c:numFmt formatCode="General" sourceLinked="1"/>
        <c:tickLblPos val="nextTo"/>
        <c:txPr>
          <a:bodyPr/>
          <a:lstStyle/>
          <a:p>
            <a:pPr>
              <a:defRPr lang="en-US"/>
            </a:pPr>
            <a:endParaRPr lang="ar-IQ"/>
          </a:p>
        </c:txPr>
        <c:crossAx val="148198528"/>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barChart>
        <c:barDir val="col"/>
        <c:grouping val="clustered"/>
        <c:ser>
          <c:idx val="0"/>
          <c:order val="0"/>
          <c:tx>
            <c:strRef>
              <c:f>Sheet1!$B$1</c:f>
              <c:strCache>
                <c:ptCount val="1"/>
                <c:pt idx="0">
                  <c:v>mean </c:v>
                </c:pt>
              </c:strCache>
            </c:strRef>
          </c:tx>
          <c:cat>
            <c:strRef>
              <c:f>Sheet1!$A$2:$A$4</c:f>
              <c:strCache>
                <c:ptCount val="3"/>
                <c:pt idx="0">
                  <c:v>Week 1</c:v>
                </c:pt>
                <c:pt idx="1">
                  <c:v>Week 2</c:v>
                </c:pt>
                <c:pt idx="2">
                  <c:v>Week 3</c:v>
                </c:pt>
              </c:strCache>
            </c:strRef>
          </c:cat>
          <c:val>
            <c:numRef>
              <c:f>Sheet1!$B$2:$B$4</c:f>
              <c:numCache>
                <c:formatCode>General</c:formatCode>
                <c:ptCount val="3"/>
                <c:pt idx="0">
                  <c:v>4.8</c:v>
                </c:pt>
                <c:pt idx="1">
                  <c:v>5.5</c:v>
                </c:pt>
                <c:pt idx="2">
                  <c:v>5.83</c:v>
                </c:pt>
              </c:numCache>
            </c:numRef>
          </c:val>
          <c:extLst xmlns:c16r2="http://schemas.microsoft.com/office/drawing/2015/06/chart">
            <c:ext xmlns:c16="http://schemas.microsoft.com/office/drawing/2014/chart" uri="{C3380CC4-5D6E-409C-BE32-E72D297353CC}">
              <c16:uniqueId val="{00000000-C4D5-4AA6-BFB8-727D17F93E8D}"/>
            </c:ext>
          </c:extLst>
        </c:ser>
        <c:axId val="146552320"/>
        <c:axId val="146554240"/>
      </c:barChart>
      <c:catAx>
        <c:axId val="146552320"/>
        <c:scaling>
          <c:orientation val="minMax"/>
        </c:scaling>
        <c:axPos val="b"/>
        <c:title>
          <c:tx>
            <c:rich>
              <a:bodyPr/>
              <a:lstStyle/>
              <a:p>
                <a:pPr>
                  <a:defRPr lang="en-US"/>
                </a:pPr>
                <a:r>
                  <a:rPr lang="en-US"/>
                  <a:t>Weeks </a:t>
                </a:r>
              </a:p>
            </c:rich>
          </c:tx>
        </c:title>
        <c:numFmt formatCode="General" sourceLinked="0"/>
        <c:tickLblPos val="nextTo"/>
        <c:txPr>
          <a:bodyPr/>
          <a:lstStyle/>
          <a:p>
            <a:pPr>
              <a:defRPr lang="en-US"/>
            </a:pPr>
            <a:endParaRPr lang="ar-IQ"/>
          </a:p>
        </c:txPr>
        <c:crossAx val="146554240"/>
        <c:crosses val="autoZero"/>
        <c:auto val="1"/>
        <c:lblAlgn val="ctr"/>
        <c:lblOffset val="100"/>
      </c:catAx>
      <c:valAx>
        <c:axId val="146554240"/>
        <c:scaling>
          <c:orientation val="minMax"/>
        </c:scaling>
        <c:axPos val="l"/>
        <c:majorGridlines/>
        <c:title>
          <c:tx>
            <c:rich>
              <a:bodyPr rot="-5400000" vert="horz"/>
              <a:lstStyle/>
              <a:p>
                <a:pPr>
                  <a:defRPr lang="en-US"/>
                </a:pPr>
                <a:r>
                  <a:rPr lang="en-US"/>
                  <a:t>Total S. protein g/dl  </a:t>
                </a:r>
              </a:p>
            </c:rich>
          </c:tx>
          <c:layout>
            <c:manualLayout>
              <c:xMode val="edge"/>
              <c:yMode val="edge"/>
              <c:x val="1.1574074074074073E-2"/>
              <c:y val="0.27987282839645516"/>
            </c:manualLayout>
          </c:layout>
        </c:title>
        <c:numFmt formatCode="General" sourceLinked="1"/>
        <c:tickLblPos val="nextTo"/>
        <c:txPr>
          <a:bodyPr/>
          <a:lstStyle/>
          <a:p>
            <a:pPr>
              <a:defRPr lang="en-US"/>
            </a:pPr>
            <a:endParaRPr lang="ar-IQ"/>
          </a:p>
        </c:txPr>
        <c:crossAx val="146552320"/>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barChart>
        <c:barDir val="col"/>
        <c:grouping val="clustered"/>
        <c:ser>
          <c:idx val="0"/>
          <c:order val="0"/>
          <c:tx>
            <c:strRef>
              <c:f>Sheet1!$B$1</c:f>
              <c:strCache>
                <c:ptCount val="1"/>
                <c:pt idx="0">
                  <c:v>mean </c:v>
                </c:pt>
              </c:strCache>
            </c:strRef>
          </c:tx>
          <c:cat>
            <c:strRef>
              <c:f>Sheet1!$A$2:$A$4</c:f>
              <c:strCache>
                <c:ptCount val="3"/>
                <c:pt idx="0">
                  <c:v>Week 1</c:v>
                </c:pt>
                <c:pt idx="1">
                  <c:v>Week 2</c:v>
                </c:pt>
                <c:pt idx="2">
                  <c:v>Week 3</c:v>
                </c:pt>
              </c:strCache>
            </c:strRef>
          </c:cat>
          <c:val>
            <c:numRef>
              <c:f>Sheet1!$B$2:$B$4</c:f>
              <c:numCache>
                <c:formatCode>General</c:formatCode>
                <c:ptCount val="3"/>
                <c:pt idx="0">
                  <c:v>2.9</c:v>
                </c:pt>
                <c:pt idx="1">
                  <c:v>3.3299999999999987</c:v>
                </c:pt>
                <c:pt idx="2">
                  <c:v>3.3499999999999988</c:v>
                </c:pt>
              </c:numCache>
            </c:numRef>
          </c:val>
          <c:extLst xmlns:c16r2="http://schemas.microsoft.com/office/drawing/2015/06/chart">
            <c:ext xmlns:c16="http://schemas.microsoft.com/office/drawing/2014/chart" uri="{C3380CC4-5D6E-409C-BE32-E72D297353CC}">
              <c16:uniqueId val="{00000000-B008-43F3-BD97-4195E4262B0D}"/>
            </c:ext>
          </c:extLst>
        </c:ser>
        <c:axId val="174213760"/>
        <c:axId val="148194048"/>
      </c:barChart>
      <c:catAx>
        <c:axId val="174213760"/>
        <c:scaling>
          <c:orientation val="minMax"/>
        </c:scaling>
        <c:axPos val="b"/>
        <c:title>
          <c:tx>
            <c:rich>
              <a:bodyPr/>
              <a:lstStyle/>
              <a:p>
                <a:pPr>
                  <a:defRPr lang="en-US"/>
                </a:pPr>
                <a:r>
                  <a:rPr lang="en-US"/>
                  <a:t>Weeks </a:t>
                </a:r>
              </a:p>
            </c:rich>
          </c:tx>
          <c:layout>
            <c:manualLayout>
              <c:xMode val="edge"/>
              <c:yMode val="edge"/>
              <c:x val="0.44781404928550833"/>
              <c:y val="0.9079165104361957"/>
            </c:manualLayout>
          </c:layout>
        </c:title>
        <c:numFmt formatCode="General" sourceLinked="0"/>
        <c:tickLblPos val="nextTo"/>
        <c:txPr>
          <a:bodyPr/>
          <a:lstStyle/>
          <a:p>
            <a:pPr>
              <a:defRPr lang="en-US"/>
            </a:pPr>
            <a:endParaRPr lang="ar-IQ"/>
          </a:p>
        </c:txPr>
        <c:crossAx val="148194048"/>
        <c:crosses val="autoZero"/>
        <c:auto val="1"/>
        <c:lblAlgn val="ctr"/>
        <c:lblOffset val="100"/>
      </c:catAx>
      <c:valAx>
        <c:axId val="148194048"/>
        <c:scaling>
          <c:orientation val="minMax"/>
        </c:scaling>
        <c:axPos val="l"/>
        <c:majorGridlines/>
        <c:title>
          <c:tx>
            <c:rich>
              <a:bodyPr rot="-5400000" vert="horz"/>
              <a:lstStyle/>
              <a:p>
                <a:pPr>
                  <a:defRPr lang="en-US"/>
                </a:pPr>
                <a:r>
                  <a:rPr lang="en-US"/>
                  <a:t>Total albumin g/dl </a:t>
                </a:r>
              </a:p>
            </c:rich>
          </c:tx>
          <c:layout>
            <c:manualLayout>
              <c:xMode val="edge"/>
              <c:yMode val="edge"/>
              <c:x val="9.2592592592594079E-3"/>
              <c:y val="0.29890044994376047"/>
            </c:manualLayout>
          </c:layout>
        </c:title>
        <c:numFmt formatCode="General" sourceLinked="1"/>
        <c:tickLblPos val="nextTo"/>
        <c:txPr>
          <a:bodyPr/>
          <a:lstStyle/>
          <a:p>
            <a:pPr>
              <a:defRPr lang="en-US"/>
            </a:pPr>
            <a:endParaRPr lang="ar-IQ"/>
          </a:p>
        </c:txPr>
        <c:crossAx val="174213760"/>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ar-IQ"/>
  <c:chart>
    <c:title>
      <c:tx>
        <c:rich>
          <a:bodyPr/>
          <a:lstStyle/>
          <a:p>
            <a:pPr>
              <a:defRPr lang="en-US"/>
            </a:pPr>
            <a:r>
              <a:rPr lang="en-US"/>
              <a:t>TBSA &amp; WBC I </a:t>
            </a:r>
          </a:p>
        </c:rich>
      </c:tx>
    </c:title>
    <c:plotArea>
      <c:layout/>
      <c:barChart>
        <c:barDir val="col"/>
        <c:grouping val="clustered"/>
        <c:ser>
          <c:idx val="0"/>
          <c:order val="0"/>
          <c:tx>
            <c:strRef>
              <c:f>Sheet1!$B$1</c:f>
              <c:strCache>
                <c:ptCount val="1"/>
                <c:pt idx="0">
                  <c:v>WBC &lt;10×10^9</c:v>
                </c:pt>
              </c:strCache>
            </c:strRef>
          </c:tx>
          <c:cat>
            <c:strRef>
              <c:f>Sheet1!$A$2:$A$7</c:f>
              <c:strCache>
                <c:ptCount val="6"/>
                <c:pt idx="0">
                  <c:v>&lt; 20%</c:v>
                </c:pt>
                <c:pt idx="1">
                  <c:v>20-30%</c:v>
                </c:pt>
                <c:pt idx="2">
                  <c:v>30-40%</c:v>
                </c:pt>
                <c:pt idx="3">
                  <c:v>40-50%</c:v>
                </c:pt>
                <c:pt idx="4">
                  <c:v>50-60%</c:v>
                </c:pt>
                <c:pt idx="5">
                  <c:v>&gt;60%</c:v>
                </c:pt>
              </c:strCache>
            </c:strRef>
          </c:cat>
          <c:val>
            <c:numRef>
              <c:f>Sheet1!$B$2:$B$7</c:f>
              <c:numCache>
                <c:formatCode>General</c:formatCode>
                <c:ptCount val="6"/>
                <c:pt idx="0">
                  <c:v>7</c:v>
                </c:pt>
                <c:pt idx="1">
                  <c:v>12</c:v>
                </c:pt>
                <c:pt idx="2">
                  <c:v>11</c:v>
                </c:pt>
                <c:pt idx="3">
                  <c:v>13</c:v>
                </c:pt>
                <c:pt idx="4">
                  <c:v>1</c:v>
                </c:pt>
                <c:pt idx="5">
                  <c:v>3</c:v>
                </c:pt>
              </c:numCache>
            </c:numRef>
          </c:val>
          <c:extLst xmlns:c16r2="http://schemas.microsoft.com/office/drawing/2015/06/chart">
            <c:ext xmlns:c16="http://schemas.microsoft.com/office/drawing/2014/chart" uri="{C3380CC4-5D6E-409C-BE32-E72D297353CC}">
              <c16:uniqueId val="{00000000-C00C-4499-9167-70C4C9D24102}"/>
            </c:ext>
          </c:extLst>
        </c:ser>
        <c:ser>
          <c:idx val="1"/>
          <c:order val="1"/>
          <c:tx>
            <c:strRef>
              <c:f>Sheet1!$C$1</c:f>
              <c:strCache>
                <c:ptCount val="1"/>
                <c:pt idx="0">
                  <c:v>WBC 20-10×10^9</c:v>
                </c:pt>
              </c:strCache>
            </c:strRef>
          </c:tx>
          <c:cat>
            <c:strRef>
              <c:f>Sheet1!$A$2:$A$7</c:f>
              <c:strCache>
                <c:ptCount val="6"/>
                <c:pt idx="0">
                  <c:v>&lt; 20%</c:v>
                </c:pt>
                <c:pt idx="1">
                  <c:v>20-30%</c:v>
                </c:pt>
                <c:pt idx="2">
                  <c:v>30-40%</c:v>
                </c:pt>
                <c:pt idx="3">
                  <c:v>40-50%</c:v>
                </c:pt>
                <c:pt idx="4">
                  <c:v>50-60%</c:v>
                </c:pt>
                <c:pt idx="5">
                  <c:v>&gt;60%</c:v>
                </c:pt>
              </c:strCache>
            </c:strRef>
          </c:cat>
          <c:val>
            <c:numRef>
              <c:f>Sheet1!$C$2:$C$7</c:f>
              <c:numCache>
                <c:formatCode>General</c:formatCode>
                <c:ptCount val="6"/>
                <c:pt idx="0">
                  <c:v>6</c:v>
                </c:pt>
                <c:pt idx="1">
                  <c:v>7</c:v>
                </c:pt>
                <c:pt idx="2">
                  <c:v>5</c:v>
                </c:pt>
                <c:pt idx="3">
                  <c:v>5</c:v>
                </c:pt>
                <c:pt idx="4">
                  <c:v>2</c:v>
                </c:pt>
                <c:pt idx="5">
                  <c:v>2</c:v>
                </c:pt>
              </c:numCache>
            </c:numRef>
          </c:val>
          <c:extLst xmlns:c16r2="http://schemas.microsoft.com/office/drawing/2015/06/chart">
            <c:ext xmlns:c16="http://schemas.microsoft.com/office/drawing/2014/chart" uri="{C3380CC4-5D6E-409C-BE32-E72D297353CC}">
              <c16:uniqueId val="{00000001-C00C-4499-9167-70C4C9D24102}"/>
            </c:ext>
          </c:extLst>
        </c:ser>
        <c:ser>
          <c:idx val="2"/>
          <c:order val="2"/>
          <c:tx>
            <c:strRef>
              <c:f>Sheet1!$D$1</c:f>
              <c:strCache>
                <c:ptCount val="1"/>
                <c:pt idx="0">
                  <c:v>WBC&gt;20×10^9</c:v>
                </c:pt>
              </c:strCache>
            </c:strRef>
          </c:tx>
          <c:cat>
            <c:strRef>
              <c:f>Sheet1!$A$2:$A$7</c:f>
              <c:strCache>
                <c:ptCount val="6"/>
                <c:pt idx="0">
                  <c:v>&lt; 20%</c:v>
                </c:pt>
                <c:pt idx="1">
                  <c:v>20-30%</c:v>
                </c:pt>
                <c:pt idx="2">
                  <c:v>30-40%</c:v>
                </c:pt>
                <c:pt idx="3">
                  <c:v>40-50%</c:v>
                </c:pt>
                <c:pt idx="4">
                  <c:v>50-60%</c:v>
                </c:pt>
                <c:pt idx="5">
                  <c:v>&gt;60%</c:v>
                </c:pt>
              </c:strCache>
            </c:strRef>
          </c:cat>
          <c:val>
            <c:numRef>
              <c:f>Sheet1!$D$2:$D$7</c:f>
              <c:numCache>
                <c:formatCode>General</c:formatCode>
                <c:ptCount val="6"/>
                <c:pt idx="0">
                  <c:v>1</c:v>
                </c:pt>
                <c:pt idx="1">
                  <c:v>3</c:v>
                </c:pt>
                <c:pt idx="2">
                  <c:v>5</c:v>
                </c:pt>
                <c:pt idx="3">
                  <c:v>2</c:v>
                </c:pt>
                <c:pt idx="4">
                  <c:v>1</c:v>
                </c:pt>
                <c:pt idx="5">
                  <c:v>1</c:v>
                </c:pt>
              </c:numCache>
            </c:numRef>
          </c:val>
          <c:extLst xmlns:c16r2="http://schemas.microsoft.com/office/drawing/2015/06/chart">
            <c:ext xmlns:c16="http://schemas.microsoft.com/office/drawing/2014/chart" uri="{C3380CC4-5D6E-409C-BE32-E72D297353CC}">
              <c16:uniqueId val="{00000002-C00C-4499-9167-70C4C9D24102}"/>
            </c:ext>
          </c:extLst>
        </c:ser>
        <c:axId val="148497920"/>
        <c:axId val="148499840"/>
      </c:barChart>
      <c:catAx>
        <c:axId val="148497920"/>
        <c:scaling>
          <c:orientation val="minMax"/>
        </c:scaling>
        <c:axPos val="b"/>
        <c:title>
          <c:tx>
            <c:rich>
              <a:bodyPr/>
              <a:lstStyle/>
              <a:p>
                <a:pPr>
                  <a:defRPr lang="en-US"/>
                </a:pPr>
                <a:r>
                  <a:rPr lang="en-US"/>
                  <a:t>total body surface area </a:t>
                </a:r>
              </a:p>
            </c:rich>
          </c:tx>
        </c:title>
        <c:numFmt formatCode="General" sourceLinked="0"/>
        <c:tickLblPos val="nextTo"/>
        <c:txPr>
          <a:bodyPr/>
          <a:lstStyle/>
          <a:p>
            <a:pPr>
              <a:defRPr lang="en-US"/>
            </a:pPr>
            <a:endParaRPr lang="ar-IQ"/>
          </a:p>
        </c:txPr>
        <c:crossAx val="148499840"/>
        <c:crosses val="autoZero"/>
        <c:auto val="1"/>
        <c:lblAlgn val="ctr"/>
        <c:lblOffset val="100"/>
      </c:catAx>
      <c:valAx>
        <c:axId val="148499840"/>
        <c:scaling>
          <c:orientation val="minMax"/>
        </c:scaling>
        <c:axPos val="l"/>
        <c:majorGridlines/>
        <c:title>
          <c:tx>
            <c:rich>
              <a:bodyPr rot="-5400000" vert="horz"/>
              <a:lstStyle/>
              <a:p>
                <a:pPr>
                  <a:defRPr lang="en-US"/>
                </a:pPr>
                <a:r>
                  <a:rPr lang="en-US"/>
                  <a:t>frequency </a:t>
                </a:r>
              </a:p>
            </c:rich>
          </c:tx>
        </c:title>
        <c:numFmt formatCode="General" sourceLinked="1"/>
        <c:tickLblPos val="nextTo"/>
        <c:txPr>
          <a:bodyPr/>
          <a:lstStyle/>
          <a:p>
            <a:pPr>
              <a:defRPr lang="en-US"/>
            </a:pPr>
            <a:endParaRPr lang="ar-IQ"/>
          </a:p>
        </c:txPr>
        <c:crossAx val="148497920"/>
        <c:crosses val="autoZero"/>
        <c:crossBetween val="between"/>
      </c:valAx>
    </c:plotArea>
    <c:legend>
      <c:legendPos val="r"/>
      <c:txPr>
        <a:bodyPr/>
        <a:lstStyle/>
        <a:p>
          <a:pPr>
            <a:defRPr lang="en-US"/>
          </a:pPr>
          <a:endParaRPr lang="ar-IQ"/>
        </a:p>
      </c:tx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ar-IQ"/>
  <c:chart>
    <c:title>
      <c:tx>
        <c:rich>
          <a:bodyPr/>
          <a:lstStyle/>
          <a:p>
            <a:pPr>
              <a:defRPr lang="en-US"/>
            </a:pPr>
            <a:r>
              <a:rPr lang="en-US"/>
              <a:t>TBS &amp; WBC II </a:t>
            </a:r>
          </a:p>
        </c:rich>
      </c:tx>
    </c:title>
    <c:plotArea>
      <c:layout/>
      <c:barChart>
        <c:barDir val="col"/>
        <c:grouping val="clustered"/>
        <c:ser>
          <c:idx val="0"/>
          <c:order val="0"/>
          <c:tx>
            <c:strRef>
              <c:f>Sheet1!$B$1</c:f>
              <c:strCache>
                <c:ptCount val="1"/>
                <c:pt idx="0">
                  <c:v>WBC &lt;10×10^9</c:v>
                </c:pt>
              </c:strCache>
            </c:strRef>
          </c:tx>
          <c:cat>
            <c:strRef>
              <c:f>Sheet1!$A$2:$A$7</c:f>
              <c:strCache>
                <c:ptCount val="6"/>
                <c:pt idx="0">
                  <c:v>&lt; 20%</c:v>
                </c:pt>
                <c:pt idx="1">
                  <c:v>20-30%</c:v>
                </c:pt>
                <c:pt idx="2">
                  <c:v>30-40%</c:v>
                </c:pt>
                <c:pt idx="3">
                  <c:v>40-50%</c:v>
                </c:pt>
                <c:pt idx="4">
                  <c:v>50-60%</c:v>
                </c:pt>
                <c:pt idx="5">
                  <c:v>&gt;60%</c:v>
                </c:pt>
              </c:strCache>
            </c:strRef>
          </c:cat>
          <c:val>
            <c:numRef>
              <c:f>Sheet1!$B$2:$B$7</c:f>
              <c:numCache>
                <c:formatCode>General</c:formatCode>
                <c:ptCount val="6"/>
                <c:pt idx="0">
                  <c:v>2</c:v>
                </c:pt>
                <c:pt idx="1">
                  <c:v>7</c:v>
                </c:pt>
                <c:pt idx="2">
                  <c:v>6</c:v>
                </c:pt>
                <c:pt idx="3">
                  <c:v>5</c:v>
                </c:pt>
                <c:pt idx="4">
                  <c:v>1</c:v>
                </c:pt>
                <c:pt idx="5">
                  <c:v>2</c:v>
                </c:pt>
              </c:numCache>
            </c:numRef>
          </c:val>
          <c:extLst xmlns:c16r2="http://schemas.microsoft.com/office/drawing/2015/06/chart">
            <c:ext xmlns:c16="http://schemas.microsoft.com/office/drawing/2014/chart" uri="{C3380CC4-5D6E-409C-BE32-E72D297353CC}">
              <c16:uniqueId val="{00000000-E4CE-4D67-BCB4-D4E15C71A630}"/>
            </c:ext>
          </c:extLst>
        </c:ser>
        <c:ser>
          <c:idx val="1"/>
          <c:order val="1"/>
          <c:tx>
            <c:strRef>
              <c:f>Sheet1!$C$1</c:f>
              <c:strCache>
                <c:ptCount val="1"/>
                <c:pt idx="0">
                  <c:v>WBC 20-10×10^9 </c:v>
                </c:pt>
              </c:strCache>
            </c:strRef>
          </c:tx>
          <c:cat>
            <c:strRef>
              <c:f>Sheet1!$A$2:$A$7</c:f>
              <c:strCache>
                <c:ptCount val="6"/>
                <c:pt idx="0">
                  <c:v>&lt; 20%</c:v>
                </c:pt>
                <c:pt idx="1">
                  <c:v>20-30%</c:v>
                </c:pt>
                <c:pt idx="2">
                  <c:v>30-40%</c:v>
                </c:pt>
                <c:pt idx="3">
                  <c:v>40-50%</c:v>
                </c:pt>
                <c:pt idx="4">
                  <c:v>50-60%</c:v>
                </c:pt>
                <c:pt idx="5">
                  <c:v>&gt;60%</c:v>
                </c:pt>
              </c:strCache>
            </c:strRef>
          </c:cat>
          <c:val>
            <c:numRef>
              <c:f>Sheet1!$C$2:$C$7</c:f>
              <c:numCache>
                <c:formatCode>General</c:formatCode>
                <c:ptCount val="6"/>
                <c:pt idx="0">
                  <c:v>9</c:v>
                </c:pt>
                <c:pt idx="1">
                  <c:v>9</c:v>
                </c:pt>
                <c:pt idx="2">
                  <c:v>14</c:v>
                </c:pt>
                <c:pt idx="3">
                  <c:v>10</c:v>
                </c:pt>
                <c:pt idx="4">
                  <c:v>3</c:v>
                </c:pt>
                <c:pt idx="5">
                  <c:v>2</c:v>
                </c:pt>
              </c:numCache>
            </c:numRef>
          </c:val>
          <c:extLst xmlns:c16r2="http://schemas.microsoft.com/office/drawing/2015/06/chart">
            <c:ext xmlns:c16="http://schemas.microsoft.com/office/drawing/2014/chart" uri="{C3380CC4-5D6E-409C-BE32-E72D297353CC}">
              <c16:uniqueId val="{00000001-E4CE-4D67-BCB4-D4E15C71A630}"/>
            </c:ext>
          </c:extLst>
        </c:ser>
        <c:ser>
          <c:idx val="2"/>
          <c:order val="2"/>
          <c:tx>
            <c:strRef>
              <c:f>Sheet1!$D$1</c:f>
              <c:strCache>
                <c:ptCount val="1"/>
                <c:pt idx="0">
                  <c:v>WBC &gt;20×10^9</c:v>
                </c:pt>
              </c:strCache>
            </c:strRef>
          </c:tx>
          <c:cat>
            <c:strRef>
              <c:f>Sheet1!$A$2:$A$7</c:f>
              <c:strCache>
                <c:ptCount val="6"/>
                <c:pt idx="0">
                  <c:v>&lt; 20%</c:v>
                </c:pt>
                <c:pt idx="1">
                  <c:v>20-30%</c:v>
                </c:pt>
                <c:pt idx="2">
                  <c:v>30-40%</c:v>
                </c:pt>
                <c:pt idx="3">
                  <c:v>40-50%</c:v>
                </c:pt>
                <c:pt idx="4">
                  <c:v>50-60%</c:v>
                </c:pt>
                <c:pt idx="5">
                  <c:v>&gt;60%</c:v>
                </c:pt>
              </c:strCache>
            </c:strRef>
          </c:cat>
          <c:val>
            <c:numRef>
              <c:f>Sheet1!$D$2:$D$7</c:f>
              <c:numCache>
                <c:formatCode>General</c:formatCode>
                <c:ptCount val="6"/>
                <c:pt idx="0">
                  <c:v>3</c:v>
                </c:pt>
                <c:pt idx="1">
                  <c:v>6</c:v>
                </c:pt>
                <c:pt idx="2">
                  <c:v>1</c:v>
                </c:pt>
                <c:pt idx="3">
                  <c:v>5</c:v>
                </c:pt>
                <c:pt idx="4">
                  <c:v>0</c:v>
                </c:pt>
                <c:pt idx="5">
                  <c:v>2</c:v>
                </c:pt>
              </c:numCache>
            </c:numRef>
          </c:val>
          <c:extLst xmlns:c16r2="http://schemas.microsoft.com/office/drawing/2015/06/chart">
            <c:ext xmlns:c16="http://schemas.microsoft.com/office/drawing/2014/chart" uri="{C3380CC4-5D6E-409C-BE32-E72D297353CC}">
              <c16:uniqueId val="{00000002-E4CE-4D67-BCB4-D4E15C71A630}"/>
            </c:ext>
          </c:extLst>
        </c:ser>
        <c:axId val="101442688"/>
        <c:axId val="101444608"/>
      </c:barChart>
      <c:catAx>
        <c:axId val="101442688"/>
        <c:scaling>
          <c:orientation val="minMax"/>
        </c:scaling>
        <c:axPos val="b"/>
        <c:title>
          <c:tx>
            <c:rich>
              <a:bodyPr/>
              <a:lstStyle/>
              <a:p>
                <a:pPr>
                  <a:defRPr lang="en-US"/>
                </a:pPr>
                <a:r>
                  <a:rPr lang="en-US"/>
                  <a:t>total body surface area </a:t>
                </a:r>
              </a:p>
            </c:rich>
          </c:tx>
        </c:title>
        <c:numFmt formatCode="General" sourceLinked="0"/>
        <c:tickLblPos val="nextTo"/>
        <c:txPr>
          <a:bodyPr/>
          <a:lstStyle/>
          <a:p>
            <a:pPr>
              <a:defRPr lang="en-US"/>
            </a:pPr>
            <a:endParaRPr lang="ar-IQ"/>
          </a:p>
        </c:txPr>
        <c:crossAx val="101444608"/>
        <c:crosses val="autoZero"/>
        <c:auto val="1"/>
        <c:lblAlgn val="ctr"/>
        <c:lblOffset val="100"/>
      </c:catAx>
      <c:valAx>
        <c:axId val="101444608"/>
        <c:scaling>
          <c:orientation val="minMax"/>
        </c:scaling>
        <c:axPos val="l"/>
        <c:majorGridlines/>
        <c:title>
          <c:tx>
            <c:rich>
              <a:bodyPr rot="-5400000" vert="horz"/>
              <a:lstStyle/>
              <a:p>
                <a:pPr>
                  <a:defRPr lang="en-US"/>
                </a:pPr>
                <a:r>
                  <a:rPr lang="en-US"/>
                  <a:t>frequency </a:t>
                </a:r>
              </a:p>
            </c:rich>
          </c:tx>
        </c:title>
        <c:numFmt formatCode="General" sourceLinked="1"/>
        <c:tickLblPos val="nextTo"/>
        <c:txPr>
          <a:bodyPr/>
          <a:lstStyle/>
          <a:p>
            <a:pPr>
              <a:defRPr lang="en-US"/>
            </a:pPr>
            <a:endParaRPr lang="ar-IQ"/>
          </a:p>
        </c:txPr>
        <c:crossAx val="101442688"/>
        <c:crosses val="autoZero"/>
        <c:crossBetween val="between"/>
      </c:valAx>
    </c:plotArea>
    <c:legend>
      <c:legendPos val="r"/>
      <c:txPr>
        <a:bodyPr/>
        <a:lstStyle/>
        <a:p>
          <a:pPr>
            <a:defRPr lang="en-US"/>
          </a:pPr>
          <a:endParaRPr lang="ar-IQ"/>
        </a:p>
      </c:tx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32CB0-C6A3-4F84-B85D-16DC969A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10372</Words>
  <Characters>59127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Dana Abdulkarim</cp:lastModifiedBy>
  <cp:revision>3</cp:revision>
  <dcterms:created xsi:type="dcterms:W3CDTF">2021-10-09T03:45:00Z</dcterms:created>
  <dcterms:modified xsi:type="dcterms:W3CDTF">2021-10-09T03:49:00Z</dcterms:modified>
</cp:coreProperties>
</file>